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lang w:eastAsia="en-US"/>
        </w:rPr>
        <w:id w:val="1225637066"/>
        <w:docPartObj>
          <w:docPartGallery w:val="Cover Pages"/>
          <w:docPartUnique/>
        </w:docPartObj>
      </w:sdtPr>
      <w:sdtContent>
        <w:p w:rsidR="0057373A" w:rsidRDefault="00C84990">
          <w:pPr>
            <w:pStyle w:val="Nessunaspaziatura"/>
          </w:pPr>
          <w:r>
            <w:rPr>
              <w:noProof/>
            </w:rPr>
            <w:pict>
              <v:group id="Grup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">
                <v:rect id="Rettangolo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57373A" w:rsidRPr="00905AB4" w:rsidRDefault="005E7D5B" w:rsidP="00E96E45">
                        <w:pPr>
                          <w:pStyle w:val="Nessunaspaziatura"/>
                          <w:rPr>
                            <w:rFonts w:ascii="Arial Narrow" w:hAnsi="Arial Narrow"/>
                            <w:i/>
                            <w:color w:val="FFFFFF" w:themeColor="background1"/>
                            <w:sz w:val="28"/>
                            <w:szCs w:val="28"/>
                          </w:rPr>
                        </w:pPr>
                        <w:r>
                          <w:rPr>
                            <w:rFonts w:ascii="Arial Narrow" w:hAnsi="Arial Narrow"/>
                            <w:i/>
                            <w:color w:val="FFFFFF" w:themeColor="background1"/>
                            <w:sz w:val="28"/>
                            <w:szCs w:val="28"/>
                          </w:rPr>
                          <w:t>12</w:t>
                        </w:r>
                        <w:r w:rsidR="00BD2257">
                          <w:rPr>
                            <w:rFonts w:ascii="Arial Narrow" w:hAnsi="Arial Narrow"/>
                            <w:i/>
                            <w:color w:val="FFFFFF" w:themeColor="background1"/>
                            <w:sz w:val="28"/>
                            <w:szCs w:val="28"/>
                          </w:rPr>
                          <w:t xml:space="preserve"> febbraio 2019</w:t>
                        </w:r>
                      </w:p>
                    </w:txbxContent>
                  </v:textbox>
                </v:shape>
                <v:group id="Grup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igura a mano libera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igura a mano libera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846A45" w:rsidRPr="005E7D5B" w:rsidRDefault="00C84990" w:rsidP="005E7D5B">
          <w:pPr>
            <w:spacing w:line="259" w:lineRule="auto"/>
          </w:pPr>
          <w:r>
            <w:rPr>
              <w:noProof/>
              <w:lang w:eastAsia="it-IT"/>
            </w:rPr>
            <w:pict>
              <v:shapetype id="_x0000_t202" coordsize="21600,21600" o:spt="202" path="m,l,21600r21600,l21600,xe">
                <v:stroke joinstyle="miter"/>
                <v:path gradientshapeok="t" o:connecttype="rect"/>
              </v:shapetype>
              <v:shape id="Casella di testo 1" o:spid="_x0000_s1055" type="#_x0000_t202" style="position:absolute;margin-left:241.55pt;margin-top:153.35pt;width:4in;height:84.2pt;z-index:251660288;visibility:visible;mso-width-percent:450;mso-position-horizontal-relative:page;mso-position-vertical-relative:page;mso-width-percent:4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" filled="f" stroked="f" strokeweight=".5pt">
                <v:textbox style="mso-fit-shape-to-text:t" inset="0,0,0,0">
                  <w:txbxContent>
                    <w:p w:rsidR="0057373A" w:rsidRPr="00905AB4" w:rsidRDefault="00C84990">
                      <w:pPr>
                        <w:pStyle w:val="Nessunaspaziatura"/>
                        <w:rPr>
                          <w:rFonts w:ascii="Tahoma" w:eastAsiaTheme="majorEastAsia" w:hAnsi="Tahoma" w:cs="Tahoma"/>
                          <w:color w:val="262626" w:themeColor="text1" w:themeTint="D9"/>
                          <w:sz w:val="56"/>
                          <w:szCs w:val="56"/>
                        </w:rPr>
                      </w:pPr>
                      <w:sdt>
                        <w:sdtPr>
                          <w:rPr>
                            <w:rFonts w:ascii="Tahoma" w:eastAsiaTheme="majorEastAsia" w:hAnsi="Tahoma" w:cs="Tahoma"/>
                            <w:color w:val="262626" w:themeColor="text1" w:themeTint="D9"/>
                            <w:sz w:val="56"/>
                            <w:szCs w:val="56"/>
                          </w:rPr>
                          <w:alias w:val="Titolo"/>
                          <w:tag w:val=""/>
                          <w:id w:val="-705018352"/>
                          <w:dataBinding w:prefixMappings="xmlns:ns0='http://purl.org/dc/elements/1.1/' xmlns:ns1='http://schemas.openxmlformats.org/package/2006/metadata/core-properties' " w:xpath="/ns1:coreProperties[1]/ns0:title[1]" w:storeItemID="{6C3C8BC8-F283-45AE-878A-BAB7291924A1}"/>
                          <w:text/>
                        </w:sdtPr>
                        <w:sdtContent>
                          <w:r w:rsidR="00905AB4" w:rsidRPr="00905AB4">
                            <w:rPr>
                              <w:rFonts w:ascii="Tahoma" w:eastAsiaTheme="majorEastAsia" w:hAnsi="Tahoma" w:cs="Tahoma"/>
                              <w:color w:val="262626" w:themeColor="text1" w:themeTint="D9"/>
                              <w:sz w:val="56"/>
                              <w:szCs w:val="56"/>
                            </w:rPr>
                            <w:t>Le città ital</w:t>
                          </w:r>
                          <w:r w:rsidR="00E96E45">
                            <w:rPr>
                              <w:rFonts w:ascii="Tahoma" w:eastAsiaTheme="majorEastAsia" w:hAnsi="Tahoma" w:cs="Tahoma"/>
                              <w:color w:val="262626" w:themeColor="text1" w:themeTint="D9"/>
                              <w:sz w:val="56"/>
                              <w:szCs w:val="56"/>
                            </w:rPr>
                            <w:t>iane per l’Agenda urbana europea nella programmazione post 2020</w:t>
                          </w:r>
                        </w:sdtContent>
                      </w:sdt>
                    </w:p>
                    <w:p w:rsidR="0057373A" w:rsidRPr="005E7D5B" w:rsidRDefault="00C84990">
                      <w:pPr>
                        <w:spacing w:before="120"/>
                        <w:rPr>
                          <w:rFonts w:ascii="Tahoma" w:hAnsi="Tahoma" w:cs="Tahoma"/>
                          <w:color w:val="404040" w:themeColor="text1" w:themeTint="BF"/>
                          <w:sz w:val="40"/>
                          <w:szCs w:val="40"/>
                        </w:rPr>
                      </w:pPr>
                      <w:sdt>
                        <w:sdtPr>
                          <w:rPr>
                            <w:rFonts w:ascii="Tahoma" w:hAnsi="Tahoma" w:cs="Tahoma"/>
                            <w:color w:val="404040" w:themeColor="text1" w:themeTint="BF"/>
                            <w:sz w:val="40"/>
                            <w:szCs w:val="40"/>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F61DD2" w:rsidRPr="005E7D5B">
                            <w:rPr>
                              <w:rFonts w:ascii="Tahoma" w:hAnsi="Tahoma" w:cs="Tahoma"/>
                              <w:color w:val="404040" w:themeColor="text1" w:themeTint="BF"/>
                              <w:sz w:val="40"/>
                              <w:szCs w:val="40"/>
                            </w:rPr>
                            <w:t>ANCI</w:t>
                          </w:r>
                        </w:sdtContent>
                      </w:sdt>
                    </w:p>
                  </w:txbxContent>
                </v:textbox>
                <w10:wrap anchorx="page" anchory="page"/>
              </v:shape>
            </w:pict>
          </w:r>
          <w:r w:rsidR="0057373A">
            <w:br w:type="page"/>
          </w:r>
        </w:p>
      </w:sdtContent>
    </w:sdt>
    <w:p w:rsidR="00F61DD2" w:rsidRDefault="00DD3DCA" w:rsidP="00DD3DCA">
      <w:pPr>
        <w:jc w:val="both"/>
        <w:rPr>
          <w:rFonts w:ascii="Tahoma" w:hAnsi="Tahoma" w:cs="Tahoma"/>
          <w:sz w:val="24"/>
          <w:szCs w:val="24"/>
        </w:rPr>
      </w:pPr>
      <w:r w:rsidRPr="00905AB4">
        <w:rPr>
          <w:rFonts w:ascii="Tahoma" w:hAnsi="Tahoma" w:cs="Tahoma"/>
          <w:sz w:val="24"/>
          <w:szCs w:val="24"/>
        </w:rPr>
        <w:lastRenderedPageBreak/>
        <w:t>Attualmente circa 359 milioni di persone, pari al 72% d</w:t>
      </w:r>
      <w:r w:rsidR="00E96E45">
        <w:rPr>
          <w:rFonts w:ascii="Tahoma" w:hAnsi="Tahoma" w:cs="Tahoma"/>
          <w:sz w:val="24"/>
          <w:szCs w:val="24"/>
        </w:rPr>
        <w:t>ella popolazione dell'UE, viv</w:t>
      </w:r>
      <w:r w:rsidR="00905AB4">
        <w:rPr>
          <w:rFonts w:ascii="Tahoma" w:hAnsi="Tahoma" w:cs="Tahoma"/>
          <w:sz w:val="24"/>
          <w:szCs w:val="24"/>
        </w:rPr>
        <w:t>e</w:t>
      </w:r>
      <w:r w:rsidRPr="00905AB4">
        <w:rPr>
          <w:rFonts w:ascii="Tahoma" w:hAnsi="Tahoma" w:cs="Tahoma"/>
          <w:sz w:val="24"/>
          <w:szCs w:val="24"/>
        </w:rPr>
        <w:t xml:space="preserve"> in città, paesi e sobborghi urbani. </w:t>
      </w:r>
      <w:r w:rsidR="00F61DD2">
        <w:rPr>
          <w:rFonts w:ascii="Tahoma" w:hAnsi="Tahoma" w:cs="Tahoma"/>
          <w:sz w:val="24"/>
          <w:szCs w:val="24"/>
        </w:rPr>
        <w:t xml:space="preserve">La </w:t>
      </w:r>
      <w:r w:rsidRPr="00905AB4">
        <w:rPr>
          <w:rFonts w:ascii="Tahoma" w:hAnsi="Tahoma" w:cs="Tahoma"/>
          <w:sz w:val="24"/>
          <w:szCs w:val="24"/>
        </w:rPr>
        <w:t>quota d</w:t>
      </w:r>
      <w:r w:rsidR="00F61DD2">
        <w:rPr>
          <w:rFonts w:ascii="Tahoma" w:hAnsi="Tahoma" w:cs="Tahoma"/>
          <w:sz w:val="24"/>
          <w:szCs w:val="24"/>
        </w:rPr>
        <w:t>ella popolazione urbana continua</w:t>
      </w:r>
      <w:r w:rsidRPr="00905AB4">
        <w:rPr>
          <w:rFonts w:ascii="Tahoma" w:hAnsi="Tahoma" w:cs="Tahoma"/>
          <w:sz w:val="24"/>
          <w:szCs w:val="24"/>
        </w:rPr>
        <w:t xml:space="preserve"> a crescere e raggiungerà probabilmente un livello superiore all'80% entro il 2050</w:t>
      </w:r>
      <w:r w:rsidR="003E622F">
        <w:rPr>
          <w:rFonts w:ascii="Tahoma" w:hAnsi="Tahoma" w:cs="Tahoma"/>
          <w:sz w:val="24"/>
          <w:szCs w:val="24"/>
        </w:rPr>
        <w:t xml:space="preserve">. </w:t>
      </w:r>
    </w:p>
    <w:p w:rsidR="00905AB4" w:rsidRDefault="000A7B5E" w:rsidP="00DD3DCA">
      <w:pPr>
        <w:jc w:val="both"/>
        <w:rPr>
          <w:rFonts w:ascii="Tahoma" w:hAnsi="Tahoma" w:cs="Tahoma"/>
          <w:sz w:val="24"/>
          <w:szCs w:val="24"/>
        </w:rPr>
      </w:pPr>
      <w:r>
        <w:rPr>
          <w:rFonts w:ascii="Tahoma" w:hAnsi="Tahoma" w:cs="Tahoma"/>
          <w:sz w:val="24"/>
          <w:szCs w:val="24"/>
        </w:rPr>
        <w:t>I</w:t>
      </w:r>
      <w:r w:rsidR="00DD3DCA" w:rsidRPr="00905AB4">
        <w:rPr>
          <w:rFonts w:ascii="Tahoma" w:hAnsi="Tahoma" w:cs="Tahoma"/>
          <w:sz w:val="24"/>
          <w:szCs w:val="24"/>
        </w:rPr>
        <w:t>l 67% del Pil dell'Europa è prodotto in aree metropolitane, sebbene la loro popolazione rappresenti appena il 59% del totale della popolazione europea.</w:t>
      </w:r>
    </w:p>
    <w:p w:rsidR="00846A45" w:rsidRPr="00905AB4" w:rsidRDefault="004B19F1" w:rsidP="00846A45">
      <w:pPr>
        <w:pStyle w:val="Paragrafoelenco"/>
        <w:numPr>
          <w:ilvl w:val="0"/>
          <w:numId w:val="12"/>
        </w:numPr>
        <w:rPr>
          <w:rFonts w:ascii="Tahoma" w:hAnsi="Tahoma" w:cs="Tahoma"/>
          <w:b/>
          <w:sz w:val="24"/>
          <w:szCs w:val="24"/>
        </w:rPr>
      </w:pPr>
      <w:r w:rsidRPr="00905AB4">
        <w:rPr>
          <w:rFonts w:ascii="Tahoma" w:hAnsi="Tahoma" w:cs="Tahoma"/>
          <w:b/>
          <w:sz w:val="24"/>
          <w:szCs w:val="24"/>
        </w:rPr>
        <w:t>La dimensione urbana del</w:t>
      </w:r>
      <w:r w:rsidR="00715280" w:rsidRPr="00905AB4">
        <w:rPr>
          <w:rFonts w:ascii="Tahoma" w:hAnsi="Tahoma" w:cs="Tahoma"/>
          <w:b/>
          <w:sz w:val="24"/>
          <w:szCs w:val="24"/>
        </w:rPr>
        <w:t>la politica di coesione europea 2014-2020</w:t>
      </w:r>
    </w:p>
    <w:p w:rsidR="00F61DD2" w:rsidRDefault="00715280" w:rsidP="004B19F1">
      <w:pPr>
        <w:jc w:val="both"/>
        <w:rPr>
          <w:rFonts w:ascii="Tahoma" w:hAnsi="Tahoma" w:cs="Tahoma"/>
          <w:sz w:val="24"/>
          <w:szCs w:val="24"/>
        </w:rPr>
      </w:pPr>
      <w:r w:rsidRPr="00905AB4">
        <w:rPr>
          <w:rFonts w:ascii="Tahoma" w:hAnsi="Tahoma" w:cs="Tahoma"/>
          <w:sz w:val="24"/>
          <w:szCs w:val="24"/>
        </w:rPr>
        <w:t>Nel quadro dell'attuale periodo di programmazione (2014-2020), il regolamento n. 1301/2013 sul FESR prevede, in materia di polit</w:t>
      </w:r>
      <w:r w:rsidR="0098311E" w:rsidRPr="00905AB4">
        <w:rPr>
          <w:rFonts w:ascii="Tahoma" w:hAnsi="Tahoma" w:cs="Tahoma"/>
          <w:sz w:val="24"/>
          <w:szCs w:val="24"/>
        </w:rPr>
        <w:t>ica urbana, alcune</w:t>
      </w:r>
      <w:r w:rsidRPr="00905AB4">
        <w:rPr>
          <w:rFonts w:ascii="Tahoma" w:hAnsi="Tahoma" w:cs="Tahoma"/>
          <w:sz w:val="24"/>
          <w:szCs w:val="24"/>
        </w:rPr>
        <w:t xml:space="preserve"> importanti misure.</w:t>
      </w:r>
    </w:p>
    <w:p w:rsidR="00772D2B" w:rsidRPr="00905AB4" w:rsidRDefault="00715280" w:rsidP="004B19F1">
      <w:pPr>
        <w:jc w:val="both"/>
        <w:rPr>
          <w:rFonts w:ascii="Tahoma" w:hAnsi="Tahoma" w:cs="Tahoma"/>
          <w:sz w:val="24"/>
          <w:szCs w:val="24"/>
        </w:rPr>
      </w:pPr>
      <w:r w:rsidRPr="00905AB4">
        <w:rPr>
          <w:rFonts w:ascii="Tahoma" w:hAnsi="Tahoma" w:cs="Tahoma"/>
          <w:sz w:val="24"/>
          <w:szCs w:val="24"/>
        </w:rPr>
        <w:t xml:space="preserve">Innanzitutto, </w:t>
      </w:r>
      <w:r w:rsidRPr="00905AB4">
        <w:rPr>
          <w:rFonts w:ascii="Tahoma" w:hAnsi="Tahoma" w:cs="Tahoma"/>
          <w:i/>
          <w:sz w:val="24"/>
          <w:szCs w:val="24"/>
        </w:rPr>
        <w:t>l’articolo 7</w:t>
      </w:r>
      <w:r w:rsidR="00574C78" w:rsidRPr="00905AB4">
        <w:rPr>
          <w:rFonts w:ascii="Tahoma" w:hAnsi="Tahoma" w:cs="Tahoma"/>
          <w:sz w:val="24"/>
          <w:szCs w:val="24"/>
        </w:rPr>
        <w:t>che assicura che almeno il 5% delle risorse del Fondo per lo Sviluppo Europeo Regionale venga assegnato a livello nazionale all'investimento per obiettivi di lavoro e crescita destinato alle azioni integrate per uno sviluppo urbano sosteni</w:t>
      </w:r>
      <w:r w:rsidR="007B1286" w:rsidRPr="00905AB4">
        <w:rPr>
          <w:rFonts w:ascii="Tahoma" w:hAnsi="Tahoma" w:cs="Tahoma"/>
          <w:sz w:val="24"/>
          <w:szCs w:val="24"/>
        </w:rPr>
        <w:t>bile. Le autorità urbane sono indicate come</w:t>
      </w:r>
      <w:r w:rsidR="00574C78" w:rsidRPr="00905AB4">
        <w:rPr>
          <w:rFonts w:ascii="Tahoma" w:hAnsi="Tahoma" w:cs="Tahoma"/>
          <w:sz w:val="24"/>
          <w:szCs w:val="24"/>
        </w:rPr>
        <w:t xml:space="preserve"> responsabili dei compiti relativi alla selezione delle operazioni, e potranno anche intraprendere compiti relativi alla gestione di azioni integrate che affront</w:t>
      </w:r>
      <w:r w:rsidR="007B1286" w:rsidRPr="00905AB4">
        <w:rPr>
          <w:rFonts w:ascii="Tahoma" w:hAnsi="Tahoma" w:cs="Tahoma"/>
          <w:sz w:val="24"/>
          <w:szCs w:val="24"/>
        </w:rPr>
        <w:t>i</w:t>
      </w:r>
      <w:r w:rsidR="00574C78" w:rsidRPr="00905AB4">
        <w:rPr>
          <w:rFonts w:ascii="Tahoma" w:hAnsi="Tahoma" w:cs="Tahoma"/>
          <w:sz w:val="24"/>
          <w:szCs w:val="24"/>
        </w:rPr>
        <w:t>no sfide economiche, ambientali, climatiche, demografiche e sociali riguardanti le aree urbane, dando così alle città grande voce in capitolo.</w:t>
      </w:r>
    </w:p>
    <w:p w:rsidR="00905AB4" w:rsidRDefault="00574C78" w:rsidP="004B19F1">
      <w:pPr>
        <w:jc w:val="both"/>
        <w:rPr>
          <w:rFonts w:ascii="Tahoma" w:hAnsi="Tahoma" w:cs="Tahoma"/>
          <w:sz w:val="24"/>
          <w:szCs w:val="24"/>
        </w:rPr>
      </w:pPr>
      <w:r w:rsidRPr="00905AB4">
        <w:rPr>
          <w:rFonts w:ascii="Tahoma" w:hAnsi="Tahoma" w:cs="Tahoma"/>
          <w:sz w:val="24"/>
          <w:szCs w:val="24"/>
        </w:rPr>
        <w:t xml:space="preserve">La dimensione urbana è stata </w:t>
      </w:r>
      <w:r w:rsidR="00715280" w:rsidRPr="00905AB4">
        <w:rPr>
          <w:rFonts w:ascii="Tahoma" w:hAnsi="Tahoma" w:cs="Tahoma"/>
          <w:sz w:val="24"/>
          <w:szCs w:val="24"/>
        </w:rPr>
        <w:t xml:space="preserve">inoltre </w:t>
      </w:r>
      <w:r w:rsidRPr="00905AB4">
        <w:rPr>
          <w:rFonts w:ascii="Tahoma" w:hAnsi="Tahoma" w:cs="Tahoma"/>
          <w:sz w:val="24"/>
          <w:szCs w:val="24"/>
        </w:rPr>
        <w:t xml:space="preserve">rinforzata attraverso </w:t>
      </w:r>
      <w:r w:rsidRPr="00905AB4">
        <w:rPr>
          <w:rFonts w:ascii="Tahoma" w:hAnsi="Tahoma" w:cs="Tahoma"/>
          <w:i/>
          <w:sz w:val="24"/>
          <w:szCs w:val="24"/>
        </w:rPr>
        <w:t>l'articolo 8</w:t>
      </w:r>
      <w:r w:rsidR="00715280" w:rsidRPr="00905AB4">
        <w:rPr>
          <w:rFonts w:ascii="Tahoma" w:hAnsi="Tahoma" w:cs="Tahoma"/>
          <w:sz w:val="24"/>
          <w:szCs w:val="24"/>
        </w:rPr>
        <w:t>del medesimo regolamento</w:t>
      </w:r>
      <w:r w:rsidRPr="00905AB4">
        <w:rPr>
          <w:rFonts w:ascii="Tahoma" w:hAnsi="Tahoma" w:cs="Tahoma"/>
          <w:sz w:val="24"/>
          <w:szCs w:val="24"/>
        </w:rPr>
        <w:t xml:space="preserve">. Questo supporta le indagini e </w:t>
      </w:r>
      <w:r w:rsidR="007B1286" w:rsidRPr="00905AB4">
        <w:rPr>
          <w:rFonts w:ascii="Tahoma" w:hAnsi="Tahoma" w:cs="Tahoma"/>
          <w:sz w:val="24"/>
          <w:szCs w:val="24"/>
        </w:rPr>
        <w:t xml:space="preserve">guida i </w:t>
      </w:r>
      <w:r w:rsidRPr="00905AB4">
        <w:rPr>
          <w:rFonts w:ascii="Tahoma" w:hAnsi="Tahoma" w:cs="Tahoma"/>
          <w:sz w:val="24"/>
          <w:szCs w:val="24"/>
        </w:rPr>
        <w:t>progetti a identificare e testare nuove soluzioni</w:t>
      </w:r>
      <w:r w:rsidR="007B1286" w:rsidRPr="00905AB4">
        <w:rPr>
          <w:rFonts w:ascii="Tahoma" w:hAnsi="Tahoma" w:cs="Tahoma"/>
          <w:sz w:val="24"/>
          <w:szCs w:val="24"/>
        </w:rPr>
        <w:t>,</w:t>
      </w:r>
      <w:r w:rsidRPr="00905AB4">
        <w:rPr>
          <w:rFonts w:ascii="Tahoma" w:hAnsi="Tahoma" w:cs="Tahoma"/>
          <w:sz w:val="24"/>
          <w:szCs w:val="24"/>
        </w:rPr>
        <w:t xml:space="preserve"> incoraggia l'innovazione e coinvolge le autorità urbane nella p</w:t>
      </w:r>
      <w:r w:rsidR="009401E9" w:rsidRPr="00905AB4">
        <w:rPr>
          <w:rFonts w:ascii="Tahoma" w:hAnsi="Tahoma" w:cs="Tahoma"/>
          <w:sz w:val="24"/>
          <w:szCs w:val="24"/>
        </w:rPr>
        <w:t>rogettazione e nell'attuazione</w:t>
      </w:r>
      <w:r w:rsidR="007B1286" w:rsidRPr="00905AB4">
        <w:rPr>
          <w:rFonts w:ascii="Tahoma" w:hAnsi="Tahoma" w:cs="Tahoma"/>
          <w:sz w:val="24"/>
          <w:szCs w:val="24"/>
        </w:rPr>
        <w:t xml:space="preserve"> degli interventi di sviluppo urbano sostenibile</w:t>
      </w:r>
      <w:r w:rsidR="003E622F">
        <w:rPr>
          <w:rStyle w:val="Rimandonotaapidipagina"/>
          <w:rFonts w:ascii="Tahoma" w:hAnsi="Tahoma" w:cs="Tahoma"/>
          <w:sz w:val="24"/>
          <w:szCs w:val="24"/>
        </w:rPr>
        <w:footnoteReference w:id="2"/>
      </w:r>
      <w:r w:rsidR="009401E9" w:rsidRPr="00905AB4">
        <w:rPr>
          <w:rFonts w:ascii="Tahoma" w:hAnsi="Tahoma" w:cs="Tahoma"/>
          <w:sz w:val="24"/>
          <w:szCs w:val="24"/>
        </w:rPr>
        <w:t>.</w:t>
      </w:r>
    </w:p>
    <w:p w:rsidR="00715280" w:rsidRPr="00905AB4" w:rsidRDefault="00574C78" w:rsidP="004B19F1">
      <w:pPr>
        <w:jc w:val="both"/>
        <w:rPr>
          <w:rFonts w:ascii="Tahoma" w:hAnsi="Tahoma" w:cs="Tahoma"/>
          <w:sz w:val="24"/>
          <w:szCs w:val="24"/>
        </w:rPr>
      </w:pPr>
      <w:r w:rsidRPr="00905AB4">
        <w:rPr>
          <w:rFonts w:ascii="Tahoma" w:hAnsi="Tahoma" w:cs="Tahoma"/>
          <w:sz w:val="24"/>
          <w:szCs w:val="24"/>
        </w:rPr>
        <w:t>Allo</w:t>
      </w:r>
      <w:r w:rsidR="009401E9" w:rsidRPr="00905AB4">
        <w:rPr>
          <w:rFonts w:ascii="Tahoma" w:hAnsi="Tahoma" w:cs="Tahoma"/>
          <w:sz w:val="24"/>
          <w:szCs w:val="24"/>
        </w:rPr>
        <w:t xml:space="preserve"> stesso modo</w:t>
      </w:r>
      <w:r w:rsidR="007B1286" w:rsidRPr="00905AB4">
        <w:rPr>
          <w:rFonts w:ascii="Tahoma" w:hAnsi="Tahoma" w:cs="Tahoma"/>
          <w:sz w:val="24"/>
          <w:szCs w:val="24"/>
        </w:rPr>
        <w:t>,</w:t>
      </w:r>
      <w:r w:rsidR="009401E9" w:rsidRPr="00905AB4">
        <w:rPr>
          <w:rFonts w:ascii="Tahoma" w:hAnsi="Tahoma" w:cs="Tahoma"/>
          <w:sz w:val="24"/>
          <w:szCs w:val="24"/>
        </w:rPr>
        <w:t xml:space="preserve"> la </w:t>
      </w:r>
      <w:r w:rsidR="009401E9" w:rsidRPr="00905AB4">
        <w:rPr>
          <w:rFonts w:ascii="Tahoma" w:hAnsi="Tahoma" w:cs="Tahoma"/>
          <w:i/>
          <w:sz w:val="24"/>
          <w:szCs w:val="24"/>
        </w:rPr>
        <w:t>R</w:t>
      </w:r>
      <w:r w:rsidRPr="00905AB4">
        <w:rPr>
          <w:rFonts w:ascii="Tahoma" w:hAnsi="Tahoma" w:cs="Tahoma"/>
          <w:i/>
          <w:sz w:val="24"/>
          <w:szCs w:val="24"/>
        </w:rPr>
        <w:t>ete di Sviluppo Urbano</w:t>
      </w:r>
      <w:r w:rsidRPr="00905AB4">
        <w:rPr>
          <w:rFonts w:ascii="Tahoma" w:hAnsi="Tahoma" w:cs="Tahoma"/>
          <w:sz w:val="24"/>
          <w:szCs w:val="24"/>
        </w:rPr>
        <w:t xml:space="preserve"> costitu</w:t>
      </w:r>
      <w:r w:rsidR="00715280" w:rsidRPr="00905AB4">
        <w:rPr>
          <w:rFonts w:ascii="Tahoma" w:hAnsi="Tahoma" w:cs="Tahoma"/>
          <w:sz w:val="24"/>
          <w:szCs w:val="24"/>
        </w:rPr>
        <w:t xml:space="preserve">ita sotto </w:t>
      </w:r>
      <w:r w:rsidR="00715280" w:rsidRPr="00905AB4">
        <w:rPr>
          <w:rFonts w:ascii="Tahoma" w:hAnsi="Tahoma" w:cs="Tahoma"/>
          <w:i/>
          <w:sz w:val="24"/>
          <w:szCs w:val="24"/>
        </w:rPr>
        <w:t>l'articolo 9</w:t>
      </w:r>
      <w:r w:rsidR="00F61DD2">
        <w:rPr>
          <w:rFonts w:ascii="Tahoma" w:hAnsi="Tahoma" w:cs="Tahoma"/>
          <w:sz w:val="24"/>
          <w:szCs w:val="24"/>
        </w:rPr>
        <w:t xml:space="preserve">, </w:t>
      </w:r>
      <w:r w:rsidR="00715280" w:rsidRPr="00905AB4">
        <w:rPr>
          <w:rFonts w:ascii="Tahoma" w:hAnsi="Tahoma" w:cs="Tahoma"/>
          <w:sz w:val="24"/>
          <w:szCs w:val="24"/>
        </w:rPr>
        <w:t>stesso regolamento</w:t>
      </w:r>
      <w:r w:rsidRPr="00905AB4">
        <w:rPr>
          <w:rFonts w:ascii="Tahoma" w:hAnsi="Tahoma" w:cs="Tahoma"/>
          <w:sz w:val="24"/>
          <w:szCs w:val="24"/>
        </w:rPr>
        <w:t>, spinge verso un maggiore coinvolgimento a livello locale, proponendo dibattiti sull'implementazione della dimensione urbana</w:t>
      </w:r>
      <w:r w:rsidR="006667DD" w:rsidRPr="00905AB4">
        <w:rPr>
          <w:rFonts w:ascii="Tahoma" w:hAnsi="Tahoma" w:cs="Tahoma"/>
          <w:sz w:val="24"/>
          <w:szCs w:val="24"/>
        </w:rPr>
        <w:t xml:space="preserve"> e</w:t>
      </w:r>
      <w:r w:rsidRPr="00905AB4">
        <w:rPr>
          <w:rFonts w:ascii="Tahoma" w:hAnsi="Tahoma" w:cs="Tahoma"/>
          <w:sz w:val="24"/>
          <w:szCs w:val="24"/>
        </w:rPr>
        <w:t xml:space="preserve"> favorendo i contatti e gli scambi tra le autorità urbane allo scopo di attuare strategie di sviluppo sostenibile</w:t>
      </w:r>
      <w:r w:rsidR="003E622F">
        <w:rPr>
          <w:rStyle w:val="Rimandonotaapidipagina"/>
          <w:rFonts w:ascii="Tahoma" w:hAnsi="Tahoma" w:cs="Tahoma"/>
          <w:sz w:val="24"/>
          <w:szCs w:val="24"/>
        </w:rPr>
        <w:footnoteReference w:id="3"/>
      </w:r>
      <w:r w:rsidRPr="00905AB4">
        <w:rPr>
          <w:rFonts w:ascii="Tahoma" w:hAnsi="Tahoma" w:cs="Tahoma"/>
          <w:sz w:val="24"/>
          <w:szCs w:val="24"/>
        </w:rPr>
        <w:t xml:space="preserve">. </w:t>
      </w:r>
    </w:p>
    <w:p w:rsidR="0098311E" w:rsidRPr="00905AB4" w:rsidRDefault="0098311E" w:rsidP="004B19F1">
      <w:pPr>
        <w:jc w:val="both"/>
        <w:rPr>
          <w:rFonts w:ascii="Tahoma" w:hAnsi="Tahoma" w:cs="Tahoma"/>
          <w:sz w:val="24"/>
          <w:szCs w:val="24"/>
        </w:rPr>
      </w:pPr>
    </w:p>
    <w:p w:rsidR="0098311E" w:rsidRPr="00905AB4" w:rsidRDefault="00846A45" w:rsidP="0098311E">
      <w:pPr>
        <w:pStyle w:val="Paragrafoelenco"/>
        <w:numPr>
          <w:ilvl w:val="0"/>
          <w:numId w:val="12"/>
        </w:numPr>
        <w:rPr>
          <w:rFonts w:ascii="Tahoma" w:hAnsi="Tahoma" w:cs="Tahoma"/>
          <w:b/>
          <w:sz w:val="24"/>
          <w:szCs w:val="24"/>
        </w:rPr>
      </w:pPr>
      <w:r w:rsidRPr="00905AB4">
        <w:rPr>
          <w:rFonts w:ascii="Tahoma" w:hAnsi="Tahoma" w:cs="Tahoma"/>
          <w:b/>
          <w:sz w:val="24"/>
          <w:szCs w:val="24"/>
        </w:rPr>
        <w:t xml:space="preserve">Una prima </w:t>
      </w:r>
      <w:r w:rsidR="0098311E" w:rsidRPr="00905AB4">
        <w:rPr>
          <w:rFonts w:ascii="Tahoma" w:hAnsi="Tahoma" w:cs="Tahoma"/>
          <w:b/>
          <w:sz w:val="24"/>
          <w:szCs w:val="24"/>
        </w:rPr>
        <w:t>v</w:t>
      </w:r>
      <w:r w:rsidRPr="00905AB4">
        <w:rPr>
          <w:rFonts w:ascii="Tahoma" w:hAnsi="Tahoma" w:cs="Tahoma"/>
          <w:b/>
          <w:sz w:val="24"/>
          <w:szCs w:val="24"/>
        </w:rPr>
        <w:t>alutazione sulla programmazione in corso</w:t>
      </w:r>
    </w:p>
    <w:p w:rsidR="00F61DD2" w:rsidRDefault="00905AB4" w:rsidP="007724E3">
      <w:pPr>
        <w:spacing w:after="120" w:line="240" w:lineRule="auto"/>
        <w:jc w:val="both"/>
        <w:rPr>
          <w:rFonts w:ascii="Tahoma" w:hAnsi="Tahoma" w:cs="Tahoma"/>
          <w:sz w:val="24"/>
          <w:szCs w:val="24"/>
        </w:rPr>
      </w:pPr>
      <w:r>
        <w:rPr>
          <w:rFonts w:ascii="Tahoma" w:hAnsi="Tahoma" w:cs="Tahoma"/>
          <w:sz w:val="24"/>
          <w:szCs w:val="24"/>
        </w:rPr>
        <w:t>Al nett</w:t>
      </w:r>
      <w:r w:rsidR="000A7B5E">
        <w:rPr>
          <w:rFonts w:ascii="Tahoma" w:hAnsi="Tahoma" w:cs="Tahoma"/>
          <w:sz w:val="24"/>
          <w:szCs w:val="24"/>
        </w:rPr>
        <w:t>o degli interventi co-finanziati</w:t>
      </w:r>
      <w:r>
        <w:rPr>
          <w:rFonts w:ascii="Tahoma" w:hAnsi="Tahoma" w:cs="Tahoma"/>
          <w:sz w:val="24"/>
          <w:szCs w:val="24"/>
        </w:rPr>
        <w:t xml:space="preserve"> da fondi nazionali (in primis: il Fondo per lo sviluppo e la coesione), </w:t>
      </w:r>
      <w:r w:rsidR="007724E3" w:rsidRPr="00905AB4">
        <w:rPr>
          <w:rFonts w:ascii="Tahoma" w:hAnsi="Tahoma" w:cs="Tahoma"/>
          <w:sz w:val="24"/>
          <w:szCs w:val="24"/>
        </w:rPr>
        <w:t xml:space="preserve">è importante segnalare la definizione di un Programma nazionale dedicato alla città metropolitane (PON </w:t>
      </w:r>
      <w:r w:rsidR="006667DD" w:rsidRPr="00905AB4">
        <w:rPr>
          <w:rFonts w:ascii="Tahoma" w:hAnsi="Tahoma" w:cs="Tahoma"/>
          <w:sz w:val="24"/>
          <w:szCs w:val="24"/>
        </w:rPr>
        <w:t xml:space="preserve">Metro), che rappresenta un </w:t>
      </w:r>
      <w:r w:rsidR="006667DD" w:rsidRPr="00905AB4">
        <w:rPr>
          <w:rFonts w:ascii="Tahoma" w:hAnsi="Tahoma" w:cs="Tahoma"/>
          <w:i/>
          <w:sz w:val="24"/>
          <w:szCs w:val="24"/>
        </w:rPr>
        <w:t>unicum</w:t>
      </w:r>
      <w:r w:rsidR="007724E3" w:rsidRPr="00905AB4">
        <w:rPr>
          <w:rFonts w:ascii="Tahoma" w:hAnsi="Tahoma" w:cs="Tahoma"/>
          <w:sz w:val="24"/>
          <w:szCs w:val="24"/>
        </w:rPr>
        <w:t xml:space="preserve"> tra tutti i programmi adottati dai 28 Stati membri UE</w:t>
      </w:r>
      <w:r w:rsidR="003E622F">
        <w:rPr>
          <w:rStyle w:val="Rimandonotaapidipagina"/>
          <w:rFonts w:ascii="Tahoma" w:hAnsi="Tahoma" w:cs="Tahoma"/>
          <w:sz w:val="24"/>
          <w:szCs w:val="24"/>
        </w:rPr>
        <w:footnoteReference w:id="4"/>
      </w:r>
      <w:r w:rsidR="007724E3" w:rsidRPr="00905AB4">
        <w:rPr>
          <w:rFonts w:ascii="Tahoma" w:hAnsi="Tahoma" w:cs="Tahoma"/>
          <w:sz w:val="24"/>
          <w:szCs w:val="24"/>
        </w:rPr>
        <w:t>.</w:t>
      </w:r>
    </w:p>
    <w:p w:rsidR="007724E3" w:rsidRPr="005E7D5B" w:rsidRDefault="00F61DD2" w:rsidP="007724E3">
      <w:pPr>
        <w:spacing w:after="120" w:line="240" w:lineRule="auto"/>
        <w:jc w:val="both"/>
        <w:rPr>
          <w:rFonts w:ascii="Tahoma" w:hAnsi="Tahoma" w:cs="Tahoma"/>
          <w:b/>
          <w:sz w:val="24"/>
          <w:szCs w:val="24"/>
        </w:rPr>
      </w:pPr>
      <w:r w:rsidRPr="005E7D5B">
        <w:rPr>
          <w:rFonts w:ascii="Tahoma" w:hAnsi="Tahoma" w:cs="Tahoma"/>
          <w:b/>
          <w:sz w:val="24"/>
          <w:szCs w:val="24"/>
        </w:rPr>
        <w:lastRenderedPageBreak/>
        <w:t xml:space="preserve">Il giudizio sull’andamento del programma dal punto di vista delle città </w:t>
      </w:r>
      <w:r w:rsidRPr="005E7D5B">
        <w:rPr>
          <w:rFonts w:ascii="Tahoma" w:hAnsi="Tahoma" w:cs="Tahoma"/>
          <w:b/>
          <w:i/>
          <w:sz w:val="24"/>
          <w:szCs w:val="24"/>
        </w:rPr>
        <w:t>è sicuramente positivo</w:t>
      </w:r>
      <w:r w:rsidRPr="005E7D5B">
        <w:rPr>
          <w:rFonts w:ascii="Tahoma" w:hAnsi="Tahoma" w:cs="Tahoma"/>
          <w:b/>
          <w:sz w:val="24"/>
          <w:szCs w:val="24"/>
        </w:rPr>
        <w:t>, l’esperienza va pertanto rafforzata e rilanciata nel nuovo ciclo di programmazione post 2020</w:t>
      </w:r>
      <w:r w:rsidRPr="005E7D5B">
        <w:rPr>
          <w:rStyle w:val="Rimandonotaapidipagina"/>
          <w:rFonts w:ascii="Tahoma" w:hAnsi="Tahoma" w:cs="Tahoma"/>
          <w:b/>
          <w:sz w:val="24"/>
          <w:szCs w:val="24"/>
        </w:rPr>
        <w:footnoteReference w:id="5"/>
      </w:r>
    </w:p>
    <w:p w:rsidR="003E622F" w:rsidRDefault="00F61DD2" w:rsidP="007724E3">
      <w:pPr>
        <w:spacing w:after="120" w:line="240" w:lineRule="auto"/>
        <w:jc w:val="both"/>
        <w:rPr>
          <w:rFonts w:ascii="Tahoma" w:hAnsi="Tahoma" w:cs="Tahoma"/>
          <w:sz w:val="24"/>
          <w:szCs w:val="24"/>
        </w:rPr>
      </w:pPr>
      <w:r>
        <w:rPr>
          <w:rFonts w:ascii="Tahoma" w:hAnsi="Tahoma" w:cs="Tahoma"/>
          <w:sz w:val="24"/>
          <w:szCs w:val="24"/>
        </w:rPr>
        <w:t>Dal punto di vista generale, n</w:t>
      </w:r>
      <w:r w:rsidR="007724E3" w:rsidRPr="00905AB4">
        <w:rPr>
          <w:rFonts w:ascii="Tahoma" w:hAnsi="Tahoma" w:cs="Tahoma"/>
          <w:sz w:val="24"/>
          <w:szCs w:val="24"/>
        </w:rPr>
        <w:t>elle diverse regioni italiane, le oppo</w:t>
      </w:r>
      <w:r>
        <w:rPr>
          <w:rFonts w:ascii="Tahoma" w:hAnsi="Tahoma" w:cs="Tahoma"/>
          <w:sz w:val="24"/>
          <w:szCs w:val="24"/>
        </w:rPr>
        <w:t>rtunità di investimento per le a</w:t>
      </w:r>
      <w:r w:rsidR="007724E3" w:rsidRPr="00905AB4">
        <w:rPr>
          <w:rFonts w:ascii="Tahoma" w:hAnsi="Tahoma" w:cs="Tahoma"/>
          <w:sz w:val="24"/>
          <w:szCs w:val="24"/>
        </w:rPr>
        <w:t>ree urbane si presentano ovviamente con dimensioni finanziarie e strumenti attuativi differenti, tenuto conto della diversa ripartizione delle risorse finanziarie UE</w:t>
      </w:r>
      <w:r w:rsidR="006667DD" w:rsidRPr="00905AB4">
        <w:rPr>
          <w:rFonts w:ascii="Tahoma" w:hAnsi="Tahoma" w:cs="Tahoma"/>
          <w:sz w:val="24"/>
          <w:szCs w:val="24"/>
        </w:rPr>
        <w:t xml:space="preserve"> fra tipologie di regioni (più sviluppate, meno sviluppate, in transizione)</w:t>
      </w:r>
      <w:r w:rsidR="007724E3" w:rsidRPr="00905AB4">
        <w:rPr>
          <w:rFonts w:ascii="Tahoma" w:hAnsi="Tahoma" w:cs="Tahoma"/>
          <w:sz w:val="24"/>
          <w:szCs w:val="24"/>
        </w:rPr>
        <w:t xml:space="preserve">. </w:t>
      </w:r>
    </w:p>
    <w:p w:rsidR="007724E3" w:rsidRPr="00905AB4" w:rsidRDefault="007724E3" w:rsidP="007724E3">
      <w:pPr>
        <w:spacing w:after="120" w:line="240" w:lineRule="auto"/>
        <w:jc w:val="both"/>
        <w:rPr>
          <w:rFonts w:ascii="Tahoma" w:hAnsi="Tahoma" w:cs="Tahoma"/>
          <w:sz w:val="24"/>
          <w:szCs w:val="24"/>
        </w:rPr>
      </w:pPr>
      <w:r w:rsidRPr="00905AB4">
        <w:rPr>
          <w:rFonts w:ascii="Tahoma" w:hAnsi="Tahoma" w:cs="Tahoma"/>
          <w:sz w:val="24"/>
          <w:szCs w:val="24"/>
        </w:rPr>
        <w:t xml:space="preserve">Nonostante le evidenti differenze di risorse finanziarie </w:t>
      </w:r>
      <w:r w:rsidR="006667DD" w:rsidRPr="00905AB4">
        <w:rPr>
          <w:rFonts w:ascii="Tahoma" w:hAnsi="Tahoma" w:cs="Tahoma"/>
          <w:sz w:val="24"/>
          <w:szCs w:val="24"/>
        </w:rPr>
        <w:t xml:space="preserve">allocate </w:t>
      </w:r>
      <w:r w:rsidRPr="00905AB4">
        <w:rPr>
          <w:rFonts w:ascii="Tahoma" w:hAnsi="Tahoma" w:cs="Tahoma"/>
          <w:sz w:val="24"/>
          <w:szCs w:val="24"/>
        </w:rPr>
        <w:t>fra programmi operativi regionali, la maggior parte delle Regioni italiane -sia le meno sviluppate che le più sviluppate-  nel proprio Programma operativo FESR ha previsto o un Asse di intervento dedicato specificamente allo “Sviluppo urbano” oppure piani integrati di area vasta dedicati specificamente alle aree urbane (</w:t>
      </w:r>
      <w:r w:rsidR="006667DD" w:rsidRPr="00905AB4">
        <w:rPr>
          <w:rFonts w:ascii="Tahoma" w:hAnsi="Tahoma" w:cs="Tahoma"/>
          <w:sz w:val="24"/>
          <w:szCs w:val="24"/>
        </w:rPr>
        <w:t xml:space="preserve">da attuarsi attraverso </w:t>
      </w:r>
      <w:r w:rsidRPr="00905AB4">
        <w:rPr>
          <w:rFonts w:ascii="Tahoma" w:hAnsi="Tahoma" w:cs="Tahoma"/>
          <w:sz w:val="24"/>
          <w:szCs w:val="24"/>
        </w:rPr>
        <w:t>Investimenti Integrati Territoriali (ITI) c.d. urbani, con risorse finanziarie precisamente individuate).</w:t>
      </w:r>
    </w:p>
    <w:p w:rsidR="007724E3" w:rsidRPr="00905AB4" w:rsidRDefault="00BB4DF4" w:rsidP="00AF0AE6">
      <w:pPr>
        <w:spacing w:after="120" w:line="240" w:lineRule="auto"/>
        <w:jc w:val="both"/>
        <w:rPr>
          <w:rFonts w:ascii="Tahoma" w:hAnsi="Tahoma" w:cs="Tahoma"/>
          <w:sz w:val="24"/>
          <w:szCs w:val="24"/>
        </w:rPr>
      </w:pPr>
      <w:r w:rsidRPr="00905AB4">
        <w:rPr>
          <w:rFonts w:ascii="Tahoma" w:hAnsi="Tahoma" w:cs="Tahoma"/>
          <w:sz w:val="24"/>
          <w:szCs w:val="24"/>
        </w:rPr>
        <w:t>Il tema del coordinamento fra programmazione nazionale e regionale</w:t>
      </w:r>
      <w:r w:rsidR="006667DD" w:rsidRPr="00905AB4">
        <w:rPr>
          <w:rFonts w:ascii="Tahoma" w:hAnsi="Tahoma" w:cs="Tahoma"/>
          <w:sz w:val="24"/>
          <w:szCs w:val="24"/>
        </w:rPr>
        <w:t xml:space="preserve">, insieme a quello fra politica di coesione e politiche ordinarie in una </w:t>
      </w:r>
      <w:r w:rsidR="006667DD" w:rsidRPr="00905AB4">
        <w:rPr>
          <w:rFonts w:ascii="Tahoma" w:hAnsi="Tahoma" w:cs="Tahoma"/>
          <w:i/>
          <w:sz w:val="24"/>
          <w:szCs w:val="24"/>
        </w:rPr>
        <w:t>logica di aggiuntività</w:t>
      </w:r>
      <w:r w:rsidR="006667DD" w:rsidRPr="00905AB4">
        <w:rPr>
          <w:rFonts w:ascii="Tahoma" w:hAnsi="Tahoma" w:cs="Tahoma"/>
          <w:sz w:val="24"/>
          <w:szCs w:val="24"/>
        </w:rPr>
        <w:t xml:space="preserve"> delle prime,</w:t>
      </w:r>
      <w:r w:rsidRPr="00905AB4">
        <w:rPr>
          <w:rFonts w:ascii="Tahoma" w:hAnsi="Tahoma" w:cs="Tahoma"/>
          <w:sz w:val="24"/>
          <w:szCs w:val="24"/>
        </w:rPr>
        <w:t xml:space="preserve"> sarà uno </w:t>
      </w:r>
      <w:r w:rsidR="003E622F">
        <w:rPr>
          <w:rFonts w:ascii="Tahoma" w:hAnsi="Tahoma" w:cs="Tahoma"/>
          <w:sz w:val="24"/>
          <w:szCs w:val="24"/>
        </w:rPr>
        <w:t>dei problemi del ciclo di programmazione post 2020</w:t>
      </w:r>
    </w:p>
    <w:p w:rsidR="00BB4DF4" w:rsidRPr="00905AB4" w:rsidRDefault="003E622F" w:rsidP="00AF0AE6">
      <w:pPr>
        <w:spacing w:after="120" w:line="240" w:lineRule="auto"/>
        <w:jc w:val="both"/>
        <w:rPr>
          <w:rFonts w:ascii="Tahoma" w:hAnsi="Tahoma" w:cs="Tahoma"/>
          <w:sz w:val="24"/>
          <w:szCs w:val="24"/>
        </w:rPr>
      </w:pPr>
      <w:r>
        <w:rPr>
          <w:rFonts w:ascii="Tahoma" w:hAnsi="Tahoma" w:cs="Tahoma"/>
          <w:color w:val="000000"/>
          <w:sz w:val="24"/>
          <w:szCs w:val="24"/>
        </w:rPr>
        <w:t xml:space="preserve">E’ certo </w:t>
      </w:r>
      <w:r w:rsidR="00BB4DF4" w:rsidRPr="00905AB4">
        <w:rPr>
          <w:rFonts w:ascii="Tahoma" w:hAnsi="Tahoma" w:cs="Tahoma"/>
          <w:color w:val="000000"/>
          <w:sz w:val="24"/>
          <w:szCs w:val="24"/>
        </w:rPr>
        <w:t>che quanto è stato fatto nel PON e nei POR rispetto ai problemi delle città italiane non può sicuramente dirsi esaustivo e c</w:t>
      </w:r>
      <w:r w:rsidR="00BB4512" w:rsidRPr="00905AB4">
        <w:rPr>
          <w:rFonts w:ascii="Tahoma" w:hAnsi="Tahoma" w:cs="Tahoma"/>
          <w:color w:val="000000"/>
          <w:sz w:val="24"/>
          <w:szCs w:val="24"/>
        </w:rPr>
        <w:t>he la mancanza in Italia di un’</w:t>
      </w:r>
      <w:r w:rsidR="00BB4DF4" w:rsidRPr="00905AB4">
        <w:rPr>
          <w:rFonts w:ascii="Tahoma" w:hAnsi="Tahoma" w:cs="Tahoma"/>
          <w:i/>
          <w:color w:val="000000"/>
          <w:sz w:val="24"/>
          <w:szCs w:val="24"/>
        </w:rPr>
        <w:t xml:space="preserve">agenda urbana nazionale </w:t>
      </w:r>
      <w:r w:rsidR="00BB4DF4" w:rsidRPr="00905AB4">
        <w:rPr>
          <w:rFonts w:ascii="Tahoma" w:hAnsi="Tahoma" w:cs="Tahoma"/>
          <w:color w:val="000000"/>
          <w:sz w:val="24"/>
          <w:szCs w:val="24"/>
        </w:rPr>
        <w:t>lascia ancora irrisolti (o solo parzialmente risolti) molti nodi critici dello sviluppo urbano (dal tema del congestionamento, all’</w:t>
      </w:r>
      <w:r w:rsidR="00BB4512" w:rsidRPr="00905AB4">
        <w:rPr>
          <w:rFonts w:ascii="Tahoma" w:hAnsi="Tahoma" w:cs="Tahoma"/>
          <w:color w:val="000000"/>
          <w:sz w:val="24"/>
          <w:szCs w:val="24"/>
        </w:rPr>
        <w:t>effici</w:t>
      </w:r>
      <w:r w:rsidR="00BB4DF4" w:rsidRPr="00905AB4">
        <w:rPr>
          <w:rFonts w:ascii="Tahoma" w:hAnsi="Tahoma" w:cs="Tahoma"/>
          <w:color w:val="000000"/>
          <w:sz w:val="24"/>
          <w:szCs w:val="24"/>
        </w:rPr>
        <w:t>entamento energetico, dalla piena attuazione dell’agenda digitale ai prob</w:t>
      </w:r>
      <w:r w:rsidR="00BB4512" w:rsidRPr="00905AB4">
        <w:rPr>
          <w:rFonts w:ascii="Tahoma" w:hAnsi="Tahoma" w:cs="Tahoma"/>
          <w:color w:val="000000"/>
          <w:sz w:val="24"/>
          <w:szCs w:val="24"/>
        </w:rPr>
        <w:t>l</w:t>
      </w:r>
      <w:r w:rsidR="00BB4DF4" w:rsidRPr="00905AB4">
        <w:rPr>
          <w:rFonts w:ascii="Tahoma" w:hAnsi="Tahoma" w:cs="Tahoma"/>
          <w:color w:val="000000"/>
          <w:sz w:val="24"/>
          <w:szCs w:val="24"/>
        </w:rPr>
        <w:t>emi dell’integrazione,</w:t>
      </w:r>
      <w:r w:rsidR="00BB4512" w:rsidRPr="00905AB4">
        <w:rPr>
          <w:rFonts w:ascii="Tahoma" w:hAnsi="Tahoma" w:cs="Tahoma"/>
          <w:color w:val="000000"/>
          <w:sz w:val="24"/>
          <w:szCs w:val="24"/>
        </w:rPr>
        <w:t xml:space="preserve"> dalla sicurezza dei cittadini al contrasto alle nuove e vecchie povertà, ecc.)</w:t>
      </w:r>
    </w:p>
    <w:p w:rsidR="0098311E" w:rsidRPr="00905AB4" w:rsidRDefault="0098311E" w:rsidP="00AF0AE6">
      <w:pPr>
        <w:jc w:val="both"/>
        <w:rPr>
          <w:rFonts w:ascii="Tahoma" w:hAnsi="Tahoma" w:cs="Tahoma"/>
          <w:b/>
          <w:sz w:val="24"/>
          <w:szCs w:val="24"/>
        </w:rPr>
      </w:pPr>
    </w:p>
    <w:p w:rsidR="0098311E" w:rsidRPr="00905AB4" w:rsidRDefault="00846A45" w:rsidP="00AF0AE6">
      <w:pPr>
        <w:pStyle w:val="Paragrafoelenco"/>
        <w:numPr>
          <w:ilvl w:val="0"/>
          <w:numId w:val="12"/>
        </w:numPr>
        <w:rPr>
          <w:rFonts w:ascii="Tahoma" w:hAnsi="Tahoma" w:cs="Tahoma"/>
          <w:b/>
          <w:sz w:val="24"/>
          <w:szCs w:val="24"/>
        </w:rPr>
      </w:pPr>
      <w:r w:rsidRPr="00905AB4">
        <w:rPr>
          <w:rFonts w:ascii="Tahoma" w:hAnsi="Tahoma" w:cs="Tahoma"/>
          <w:b/>
          <w:sz w:val="24"/>
          <w:szCs w:val="24"/>
        </w:rPr>
        <w:t>Quali istanze</w:t>
      </w:r>
      <w:r w:rsidRPr="00905AB4">
        <w:rPr>
          <w:rFonts w:ascii="Tahoma" w:hAnsi="Tahoma" w:cs="Tahoma"/>
          <w:b/>
          <w:color w:val="000000"/>
          <w:sz w:val="24"/>
          <w:szCs w:val="24"/>
        </w:rPr>
        <w:t xml:space="preserve"> per l’agenda urbana europea</w:t>
      </w:r>
      <w:r w:rsidR="003E622F">
        <w:rPr>
          <w:rFonts w:ascii="Tahoma" w:hAnsi="Tahoma" w:cs="Tahoma"/>
          <w:b/>
          <w:color w:val="000000"/>
          <w:sz w:val="24"/>
          <w:szCs w:val="24"/>
        </w:rPr>
        <w:t xml:space="preserve"> post 2020</w:t>
      </w:r>
    </w:p>
    <w:p w:rsidR="003D0194" w:rsidRPr="00905AB4" w:rsidRDefault="00BB4512" w:rsidP="00AF0AE6">
      <w:pPr>
        <w:jc w:val="both"/>
        <w:rPr>
          <w:rFonts w:ascii="Tahoma" w:hAnsi="Tahoma" w:cs="Tahoma"/>
          <w:sz w:val="24"/>
          <w:szCs w:val="24"/>
        </w:rPr>
      </w:pPr>
      <w:r w:rsidRPr="00905AB4">
        <w:rPr>
          <w:rFonts w:ascii="Tahoma" w:hAnsi="Tahoma" w:cs="Tahoma"/>
          <w:sz w:val="24"/>
          <w:szCs w:val="24"/>
        </w:rPr>
        <w:t>Le aspettative delle città italiane rispetto all’Agenda urbana europea</w:t>
      </w:r>
      <w:r w:rsidR="0072018D" w:rsidRPr="00905AB4">
        <w:rPr>
          <w:rFonts w:ascii="Tahoma" w:hAnsi="Tahoma" w:cs="Tahoma"/>
          <w:sz w:val="24"/>
          <w:szCs w:val="24"/>
        </w:rPr>
        <w:t xml:space="preserve"> sono sostanzialmente in</w:t>
      </w:r>
      <w:r w:rsidR="006667DD" w:rsidRPr="00905AB4">
        <w:rPr>
          <w:rFonts w:ascii="Tahoma" w:hAnsi="Tahoma" w:cs="Tahoma"/>
          <w:sz w:val="24"/>
          <w:szCs w:val="24"/>
        </w:rPr>
        <w:t xml:space="preserve"> linea con quelle espresse da tutte</w:t>
      </w:r>
      <w:r w:rsidR="00BB58C1" w:rsidRPr="00905AB4">
        <w:rPr>
          <w:rFonts w:ascii="Tahoma" w:hAnsi="Tahoma" w:cs="Tahoma"/>
          <w:sz w:val="24"/>
          <w:szCs w:val="24"/>
        </w:rPr>
        <w:t xml:space="preserve"> le</w:t>
      </w:r>
      <w:r w:rsidR="0072018D" w:rsidRPr="00905AB4">
        <w:rPr>
          <w:rFonts w:ascii="Tahoma" w:hAnsi="Tahoma" w:cs="Tahoma"/>
          <w:sz w:val="24"/>
          <w:szCs w:val="24"/>
        </w:rPr>
        <w:t xml:space="preserve"> città europee nella consultazione pubblica che hanno preceduto la </w:t>
      </w:r>
      <w:r w:rsidR="006667DD" w:rsidRPr="00905AB4">
        <w:rPr>
          <w:rFonts w:ascii="Tahoma" w:hAnsi="Tahoma" w:cs="Tahoma"/>
          <w:sz w:val="24"/>
          <w:szCs w:val="24"/>
        </w:rPr>
        <w:t>“</w:t>
      </w:r>
      <w:r w:rsidR="0072018D" w:rsidRPr="00905AB4">
        <w:rPr>
          <w:rFonts w:ascii="Tahoma" w:hAnsi="Tahoma" w:cs="Tahoma"/>
          <w:sz w:val="24"/>
          <w:szCs w:val="24"/>
        </w:rPr>
        <w:t>Dichiarazione di Riga</w:t>
      </w:r>
      <w:r w:rsidR="006667DD" w:rsidRPr="00905AB4">
        <w:rPr>
          <w:rFonts w:ascii="Tahoma" w:hAnsi="Tahoma" w:cs="Tahoma"/>
          <w:sz w:val="24"/>
          <w:szCs w:val="24"/>
        </w:rPr>
        <w:t>”</w:t>
      </w:r>
      <w:r w:rsidR="0072018D" w:rsidRPr="00905AB4">
        <w:rPr>
          <w:rFonts w:ascii="Tahoma" w:hAnsi="Tahoma" w:cs="Tahoma"/>
          <w:sz w:val="24"/>
          <w:szCs w:val="24"/>
        </w:rPr>
        <w:t xml:space="preserve"> del giugno 2015</w:t>
      </w:r>
      <w:r w:rsidR="003D0194" w:rsidRPr="00905AB4">
        <w:rPr>
          <w:rFonts w:ascii="Tahoma" w:hAnsi="Tahoma" w:cs="Tahoma"/>
          <w:sz w:val="24"/>
          <w:szCs w:val="24"/>
        </w:rPr>
        <w:t xml:space="preserve">e contenute altresì nelle ultime </w:t>
      </w:r>
      <w:r w:rsidR="00BB58C1" w:rsidRPr="00905AB4">
        <w:rPr>
          <w:rFonts w:ascii="Tahoma" w:hAnsi="Tahoma" w:cs="Tahoma"/>
          <w:sz w:val="24"/>
          <w:szCs w:val="24"/>
        </w:rPr>
        <w:t>risoluzioni</w:t>
      </w:r>
      <w:r w:rsidR="003D0194" w:rsidRPr="00905AB4">
        <w:rPr>
          <w:rFonts w:ascii="Tahoma" w:hAnsi="Tahoma" w:cs="Tahoma"/>
          <w:sz w:val="24"/>
          <w:szCs w:val="24"/>
        </w:rPr>
        <w:t xml:space="preserve"> del Parlamento Europeo</w:t>
      </w:r>
      <w:r w:rsidR="003E622F">
        <w:rPr>
          <w:rFonts w:ascii="Tahoma" w:hAnsi="Tahoma" w:cs="Tahoma"/>
          <w:sz w:val="24"/>
          <w:szCs w:val="24"/>
        </w:rPr>
        <w:t>.</w:t>
      </w:r>
    </w:p>
    <w:p w:rsidR="003D0194" w:rsidRDefault="003D0194" w:rsidP="00AF0AE6">
      <w:pPr>
        <w:jc w:val="both"/>
        <w:rPr>
          <w:rFonts w:ascii="Tahoma" w:eastAsia="Times New Roman" w:hAnsi="Tahoma" w:cs="Tahoma"/>
          <w:sz w:val="24"/>
          <w:szCs w:val="24"/>
          <w:lang w:eastAsia="it-IT"/>
        </w:rPr>
      </w:pPr>
      <w:r w:rsidRPr="00905AB4">
        <w:rPr>
          <w:rFonts w:ascii="Tahoma" w:hAnsi="Tahoma" w:cs="Tahoma"/>
          <w:sz w:val="24"/>
          <w:szCs w:val="24"/>
        </w:rPr>
        <w:t xml:space="preserve">Si ritiene che </w:t>
      </w:r>
      <w:r w:rsidRPr="00905AB4">
        <w:rPr>
          <w:rFonts w:ascii="Tahoma" w:eastAsia="Times New Roman" w:hAnsi="Tahoma" w:cs="Tahoma"/>
          <w:sz w:val="24"/>
          <w:szCs w:val="24"/>
          <w:lang w:eastAsia="it-IT"/>
        </w:rPr>
        <w:t xml:space="preserve">l'Agenda urbana europea debba configurarsi come un quadro concettuale condiviso e regolarmente aggiornato che si concentri, sul piano tematico, su un </w:t>
      </w:r>
      <w:r w:rsidRPr="00BD2257">
        <w:rPr>
          <w:rFonts w:ascii="Tahoma" w:eastAsia="Times New Roman" w:hAnsi="Tahoma" w:cs="Tahoma"/>
          <w:i/>
          <w:sz w:val="24"/>
          <w:szCs w:val="24"/>
          <w:lang w:eastAsia="it-IT"/>
        </w:rPr>
        <w:t>numero limitato di sfide</w:t>
      </w:r>
      <w:r w:rsidRPr="00905AB4">
        <w:rPr>
          <w:rFonts w:ascii="Tahoma" w:eastAsia="Times New Roman" w:hAnsi="Tahoma" w:cs="Tahoma"/>
          <w:sz w:val="24"/>
          <w:szCs w:val="24"/>
          <w:lang w:eastAsia="it-IT"/>
        </w:rPr>
        <w:t xml:space="preserve"> da affrontare nel contesto più ampio degli obiettivi della strategia Europa 2020 per una crescita intelligente, inclusiva e sostenibile. </w:t>
      </w:r>
      <w:r w:rsidR="006667DD" w:rsidRPr="00905AB4">
        <w:rPr>
          <w:rFonts w:ascii="Tahoma" w:eastAsia="Times New Roman" w:hAnsi="Tahoma" w:cs="Tahoma"/>
          <w:sz w:val="24"/>
          <w:szCs w:val="24"/>
          <w:lang w:eastAsia="it-IT"/>
        </w:rPr>
        <w:t>Si ritiene altresì c</w:t>
      </w:r>
      <w:r w:rsidRPr="00905AB4">
        <w:rPr>
          <w:rFonts w:ascii="Tahoma" w:eastAsia="Times New Roman" w:hAnsi="Tahoma" w:cs="Tahoma"/>
          <w:sz w:val="24"/>
          <w:szCs w:val="24"/>
          <w:lang w:eastAsia="it-IT"/>
        </w:rPr>
        <w:t xml:space="preserve">he su queste sfide </w:t>
      </w:r>
      <w:r w:rsidRPr="00BD2257">
        <w:rPr>
          <w:rFonts w:ascii="Tahoma" w:eastAsia="Times New Roman" w:hAnsi="Tahoma" w:cs="Tahoma"/>
          <w:i/>
          <w:sz w:val="24"/>
          <w:szCs w:val="24"/>
          <w:lang w:eastAsia="it-IT"/>
        </w:rPr>
        <w:t>vengano concentrate tutte le risorse disponibili</w:t>
      </w:r>
      <w:r w:rsidRPr="00905AB4">
        <w:rPr>
          <w:rFonts w:ascii="Tahoma" w:eastAsia="Times New Roman" w:hAnsi="Tahoma" w:cs="Tahoma"/>
          <w:sz w:val="24"/>
          <w:szCs w:val="24"/>
          <w:lang w:eastAsia="it-IT"/>
        </w:rPr>
        <w:t>, comprese quelle de</w:t>
      </w:r>
      <w:r w:rsidR="006667DD" w:rsidRPr="00905AB4">
        <w:rPr>
          <w:rFonts w:ascii="Tahoma" w:eastAsia="Times New Roman" w:hAnsi="Tahoma" w:cs="Tahoma"/>
          <w:sz w:val="24"/>
          <w:szCs w:val="24"/>
          <w:lang w:eastAsia="it-IT"/>
        </w:rPr>
        <w:t>rivanti da strumenti finanziari</w:t>
      </w:r>
      <w:r w:rsidRPr="00905AB4">
        <w:rPr>
          <w:rFonts w:ascii="Tahoma" w:eastAsia="Times New Roman" w:hAnsi="Tahoma" w:cs="Tahoma"/>
          <w:sz w:val="24"/>
          <w:szCs w:val="24"/>
          <w:lang w:eastAsia="it-IT"/>
        </w:rPr>
        <w:t xml:space="preserve"> (BEI, Piano Juncker, ecc.)</w:t>
      </w:r>
      <w:r w:rsidR="006969A0" w:rsidRPr="00905AB4">
        <w:rPr>
          <w:rFonts w:ascii="Tahoma" w:eastAsia="Times New Roman" w:hAnsi="Tahoma" w:cs="Tahoma"/>
          <w:sz w:val="24"/>
          <w:szCs w:val="24"/>
          <w:lang w:eastAsia="it-IT"/>
        </w:rPr>
        <w:t xml:space="preserve"> o di partenariato pubblico-privato (PPP).</w:t>
      </w:r>
    </w:p>
    <w:p w:rsidR="00BD2257" w:rsidRDefault="00BD2257" w:rsidP="00AF0AE6">
      <w:pPr>
        <w:jc w:val="both"/>
        <w:rPr>
          <w:rFonts w:ascii="Tahoma" w:eastAsia="Times New Roman" w:hAnsi="Tahoma" w:cs="Tahoma"/>
          <w:sz w:val="24"/>
          <w:szCs w:val="24"/>
          <w:lang w:eastAsia="it-IT"/>
        </w:rPr>
      </w:pPr>
      <w:r>
        <w:rPr>
          <w:rFonts w:ascii="Tahoma" w:eastAsia="Times New Roman" w:hAnsi="Tahoma" w:cs="Tahoma"/>
          <w:sz w:val="24"/>
          <w:szCs w:val="24"/>
          <w:lang w:eastAsia="it-IT"/>
        </w:rPr>
        <w:t xml:space="preserve"> Gli interventi per lo sviluppo urbano sostenibile saranno definiti nell’ambito di un unico obiettivo generale. Risulta confermato l’approccio di </w:t>
      </w:r>
      <w:r w:rsidRPr="00BD2257">
        <w:rPr>
          <w:rFonts w:ascii="Tahoma" w:eastAsia="Times New Roman" w:hAnsi="Tahoma" w:cs="Tahoma"/>
          <w:i/>
          <w:sz w:val="24"/>
          <w:szCs w:val="24"/>
          <w:lang w:eastAsia="it-IT"/>
        </w:rPr>
        <w:t>multilevel governace</w:t>
      </w:r>
      <w:r>
        <w:rPr>
          <w:rFonts w:ascii="Tahoma" w:eastAsia="Times New Roman" w:hAnsi="Tahoma" w:cs="Tahoma"/>
          <w:sz w:val="24"/>
          <w:szCs w:val="24"/>
          <w:lang w:eastAsia="it-IT"/>
        </w:rPr>
        <w:t>, che vede le autorità urbane protagoniste centrali nella programmazione e dell’attuazione degli interventi.</w:t>
      </w:r>
    </w:p>
    <w:p w:rsidR="003D0194" w:rsidRPr="00905AB4" w:rsidRDefault="00BD2257" w:rsidP="00AF0AE6">
      <w:pPr>
        <w:jc w:val="both"/>
        <w:rPr>
          <w:rFonts w:ascii="Tahoma" w:eastAsia="Times New Roman" w:hAnsi="Tahoma" w:cs="Tahoma"/>
          <w:sz w:val="24"/>
          <w:szCs w:val="24"/>
          <w:lang w:eastAsia="it-IT"/>
        </w:rPr>
      </w:pPr>
      <w:r>
        <w:rPr>
          <w:rFonts w:ascii="Tahoma" w:eastAsia="Times New Roman" w:hAnsi="Tahoma" w:cs="Tahoma"/>
          <w:sz w:val="24"/>
          <w:szCs w:val="24"/>
          <w:lang w:eastAsia="it-IT"/>
        </w:rPr>
        <w:lastRenderedPageBreak/>
        <w:t xml:space="preserve">L’assetto normativo in discussione consente </w:t>
      </w:r>
      <w:r w:rsidR="00D92A20">
        <w:rPr>
          <w:rFonts w:ascii="Tahoma" w:eastAsia="Times New Roman" w:hAnsi="Tahoma" w:cs="Tahoma"/>
          <w:sz w:val="24"/>
          <w:szCs w:val="24"/>
          <w:lang w:eastAsia="it-IT"/>
        </w:rPr>
        <w:t xml:space="preserve">–come detto- </w:t>
      </w:r>
      <w:r>
        <w:rPr>
          <w:rFonts w:ascii="Tahoma" w:eastAsia="Times New Roman" w:hAnsi="Tahoma" w:cs="Tahoma"/>
          <w:sz w:val="24"/>
          <w:szCs w:val="24"/>
          <w:lang w:eastAsia="it-IT"/>
        </w:rPr>
        <w:t xml:space="preserve">di replicare, migliorandola dove risultasse necessario, la buona esperienza del PON Metro anche per il nuovo ciclo di programmazione. </w:t>
      </w:r>
      <w:r>
        <w:rPr>
          <w:rFonts w:ascii="Tahoma" w:hAnsi="Tahoma" w:cs="Tahoma"/>
          <w:sz w:val="24"/>
          <w:szCs w:val="24"/>
        </w:rPr>
        <w:t xml:space="preserve">Ad ogni modo, sarà </w:t>
      </w:r>
      <w:r w:rsidR="003D0194" w:rsidRPr="00905AB4">
        <w:rPr>
          <w:rFonts w:ascii="Tahoma" w:hAnsi="Tahoma" w:cs="Tahoma"/>
          <w:sz w:val="24"/>
          <w:szCs w:val="24"/>
        </w:rPr>
        <w:t xml:space="preserve">necessario </w:t>
      </w:r>
      <w:r w:rsidR="003D0194" w:rsidRPr="00905AB4">
        <w:rPr>
          <w:rFonts w:ascii="Tahoma" w:eastAsia="Times New Roman" w:hAnsi="Tahoma" w:cs="Tahoma"/>
          <w:sz w:val="24"/>
          <w:szCs w:val="24"/>
          <w:lang w:eastAsia="it-IT"/>
        </w:rPr>
        <w:t>assicurare, a ogni livello di gove</w:t>
      </w:r>
      <w:r w:rsidR="006969A0" w:rsidRPr="00905AB4">
        <w:rPr>
          <w:rFonts w:ascii="Tahoma" w:eastAsia="Times New Roman" w:hAnsi="Tahoma" w:cs="Tahoma"/>
          <w:sz w:val="24"/>
          <w:szCs w:val="24"/>
          <w:lang w:eastAsia="it-IT"/>
        </w:rPr>
        <w:t xml:space="preserve">rno, un migliore coordinamento trasversale tra gli interventi </w:t>
      </w:r>
      <w:r w:rsidR="003D0194" w:rsidRPr="00905AB4">
        <w:rPr>
          <w:rFonts w:ascii="Tahoma" w:eastAsia="Times New Roman" w:hAnsi="Tahoma" w:cs="Tahoma"/>
          <w:sz w:val="24"/>
          <w:szCs w:val="24"/>
          <w:lang w:eastAsia="it-IT"/>
        </w:rPr>
        <w:t>che presentano una dimensione urbana, affinché lo sviluppo urbano integrato sia contemplato con maggiore efficacia nelle diverse politiche</w:t>
      </w:r>
      <w:r w:rsidR="006969A0" w:rsidRPr="00905AB4">
        <w:rPr>
          <w:rFonts w:ascii="Tahoma" w:eastAsia="Times New Roman" w:hAnsi="Tahoma" w:cs="Tahoma"/>
          <w:sz w:val="24"/>
          <w:szCs w:val="24"/>
          <w:lang w:eastAsia="it-IT"/>
        </w:rPr>
        <w:t xml:space="preserve"> settoriali</w:t>
      </w:r>
      <w:r w:rsidR="003D0194" w:rsidRPr="00905AB4">
        <w:rPr>
          <w:rFonts w:ascii="Tahoma" w:eastAsia="Times New Roman" w:hAnsi="Tahoma" w:cs="Tahoma"/>
          <w:sz w:val="24"/>
          <w:szCs w:val="24"/>
          <w:lang w:eastAsia="it-IT"/>
        </w:rPr>
        <w:t xml:space="preserve">. </w:t>
      </w:r>
      <w:r>
        <w:rPr>
          <w:rFonts w:ascii="Tahoma" w:eastAsia="Times New Roman" w:hAnsi="Tahoma" w:cs="Tahoma"/>
          <w:sz w:val="24"/>
          <w:szCs w:val="24"/>
          <w:lang w:eastAsia="it-IT"/>
        </w:rPr>
        <w:t>Il coordinamento nazionale dovrà comunque</w:t>
      </w:r>
      <w:r w:rsidR="003D0194" w:rsidRPr="00905AB4">
        <w:rPr>
          <w:rFonts w:ascii="Tahoma" w:eastAsia="Times New Roman" w:hAnsi="Tahoma" w:cs="Tahoma"/>
          <w:sz w:val="24"/>
          <w:szCs w:val="24"/>
          <w:lang w:eastAsia="it-IT"/>
        </w:rPr>
        <w:t xml:space="preserve"> coinvolgere </w:t>
      </w:r>
      <w:r>
        <w:rPr>
          <w:rFonts w:ascii="Tahoma" w:eastAsia="Times New Roman" w:hAnsi="Tahoma" w:cs="Tahoma"/>
          <w:sz w:val="24"/>
          <w:szCs w:val="24"/>
          <w:lang w:eastAsia="it-IT"/>
        </w:rPr>
        <w:t>più intensamente le</w:t>
      </w:r>
      <w:r w:rsidR="003D0194" w:rsidRPr="00905AB4">
        <w:rPr>
          <w:rFonts w:ascii="Tahoma" w:eastAsia="Times New Roman" w:hAnsi="Tahoma" w:cs="Tahoma"/>
          <w:sz w:val="24"/>
          <w:szCs w:val="24"/>
          <w:lang w:eastAsia="it-IT"/>
        </w:rPr>
        <w:t xml:space="preserve"> autorità urbane</w:t>
      </w:r>
      <w:r w:rsidR="006969A0" w:rsidRPr="00905AB4">
        <w:rPr>
          <w:rFonts w:ascii="Tahoma" w:eastAsia="Times New Roman" w:hAnsi="Tahoma" w:cs="Tahoma"/>
          <w:sz w:val="24"/>
          <w:szCs w:val="24"/>
          <w:lang w:eastAsia="it-IT"/>
        </w:rPr>
        <w:t xml:space="preserve"> e le loro rappresentanze</w:t>
      </w:r>
      <w:r>
        <w:rPr>
          <w:rFonts w:ascii="Tahoma" w:eastAsia="Times New Roman" w:hAnsi="Tahoma" w:cs="Tahoma"/>
          <w:sz w:val="24"/>
          <w:szCs w:val="24"/>
          <w:lang w:eastAsia="it-IT"/>
        </w:rPr>
        <w:t xml:space="preserve"> nelle attività di definizione degli obiettivi strategici della programmazione.</w:t>
      </w:r>
    </w:p>
    <w:p w:rsidR="00E361A4" w:rsidRDefault="00E361A4" w:rsidP="00AF0AE6">
      <w:pPr>
        <w:shd w:val="clear" w:color="auto" w:fill="FFFFFF"/>
        <w:spacing w:before="100" w:beforeAutospacing="1" w:after="100" w:afterAutospacing="1" w:line="240" w:lineRule="auto"/>
        <w:jc w:val="both"/>
        <w:rPr>
          <w:rFonts w:ascii="Tahoma" w:eastAsia="Times New Roman" w:hAnsi="Tahoma" w:cs="Tahoma"/>
          <w:sz w:val="24"/>
          <w:szCs w:val="24"/>
          <w:lang w:eastAsia="it-IT"/>
        </w:rPr>
      </w:pPr>
      <w:r>
        <w:rPr>
          <w:rFonts w:ascii="Tahoma" w:eastAsia="Times New Roman" w:hAnsi="Tahoma" w:cs="Tahoma"/>
          <w:sz w:val="24"/>
          <w:szCs w:val="24"/>
          <w:lang w:eastAsia="it-IT"/>
        </w:rPr>
        <w:t>E’ necessario rafforzare le misure finanziarie dirette a favore delle Città, ampliando anche ad altre aree urbane, semplificando i processi di assegnazione, eliminando le intermediazioni, per garantire interventi più rapidi ed efficaci.</w:t>
      </w:r>
      <w:bookmarkStart w:id="0" w:name="_GoBack"/>
      <w:bookmarkEnd w:id="0"/>
    </w:p>
    <w:p w:rsidR="003D0194" w:rsidRPr="00905AB4" w:rsidRDefault="00D92A20" w:rsidP="00AF0AE6">
      <w:pPr>
        <w:shd w:val="clear" w:color="auto" w:fill="FFFFFF"/>
        <w:spacing w:before="100" w:beforeAutospacing="1" w:after="100" w:afterAutospacing="1" w:line="240" w:lineRule="auto"/>
        <w:jc w:val="both"/>
        <w:rPr>
          <w:rFonts w:ascii="Tahoma" w:eastAsia="Times New Roman" w:hAnsi="Tahoma" w:cs="Tahoma"/>
          <w:sz w:val="24"/>
          <w:szCs w:val="24"/>
          <w:lang w:eastAsia="it-IT"/>
        </w:rPr>
      </w:pPr>
      <w:r>
        <w:rPr>
          <w:rFonts w:ascii="Tahoma" w:eastAsia="Times New Roman" w:hAnsi="Tahoma" w:cs="Tahoma"/>
          <w:sz w:val="24"/>
          <w:szCs w:val="24"/>
          <w:lang w:eastAsia="it-IT"/>
        </w:rPr>
        <w:t>Ci sarebbe</w:t>
      </w:r>
      <w:r w:rsidR="003D0194" w:rsidRPr="00905AB4">
        <w:rPr>
          <w:rFonts w:ascii="Tahoma" w:eastAsia="Times New Roman" w:hAnsi="Tahoma" w:cs="Tahoma"/>
          <w:sz w:val="24"/>
          <w:szCs w:val="24"/>
          <w:lang w:eastAsia="it-IT"/>
        </w:rPr>
        <w:t xml:space="preserve"> bi</w:t>
      </w:r>
      <w:r>
        <w:rPr>
          <w:rFonts w:ascii="Tahoma" w:eastAsia="Times New Roman" w:hAnsi="Tahoma" w:cs="Tahoma"/>
          <w:sz w:val="24"/>
          <w:szCs w:val="24"/>
          <w:lang w:eastAsia="it-IT"/>
        </w:rPr>
        <w:t>sogno che la Commissione designasse</w:t>
      </w:r>
      <w:r w:rsidR="003D0194" w:rsidRPr="00905AB4">
        <w:rPr>
          <w:rFonts w:ascii="Tahoma" w:eastAsia="Times New Roman" w:hAnsi="Tahoma" w:cs="Tahoma"/>
          <w:sz w:val="24"/>
          <w:szCs w:val="24"/>
          <w:lang w:eastAsia="it-IT"/>
        </w:rPr>
        <w:t xml:space="preserve"> un coordinatore speciale </w:t>
      </w:r>
      <w:r w:rsidR="00AF0AE6" w:rsidRPr="00905AB4">
        <w:rPr>
          <w:rFonts w:ascii="Tahoma" w:eastAsia="Times New Roman" w:hAnsi="Tahoma" w:cs="Tahoma"/>
          <w:sz w:val="24"/>
          <w:szCs w:val="24"/>
          <w:lang w:eastAsia="it-IT"/>
        </w:rPr>
        <w:t>dell'UE per le questioni urbane</w:t>
      </w:r>
      <w:r w:rsidR="003D0194" w:rsidRPr="00905AB4">
        <w:rPr>
          <w:rFonts w:ascii="Tahoma" w:eastAsia="Times New Roman" w:hAnsi="Tahoma" w:cs="Tahoma"/>
          <w:sz w:val="24"/>
          <w:szCs w:val="24"/>
          <w:lang w:eastAsia="it-IT"/>
        </w:rPr>
        <w:t xml:space="preserve"> che sia incaricato di monitorare e valutare l'attuazione pratica di tale coordinamento sul piano sia orizzontale (vale a dire in tutti i pertinenti ambiti strategici), sia verticale (ossia a tutti i livelli di governo).</w:t>
      </w:r>
    </w:p>
    <w:p w:rsidR="003D0194" w:rsidRPr="00905AB4" w:rsidRDefault="003D0194" w:rsidP="00AF0AE6">
      <w:pPr>
        <w:shd w:val="clear" w:color="auto" w:fill="FFFFFF"/>
        <w:spacing w:before="100" w:beforeAutospacing="1" w:after="100" w:afterAutospacing="1" w:line="240" w:lineRule="auto"/>
        <w:jc w:val="both"/>
        <w:rPr>
          <w:rFonts w:ascii="Tahoma" w:eastAsia="Times New Roman" w:hAnsi="Tahoma" w:cs="Tahoma"/>
          <w:sz w:val="24"/>
          <w:szCs w:val="24"/>
          <w:lang w:eastAsia="it-IT"/>
        </w:rPr>
      </w:pPr>
      <w:r w:rsidRPr="00905AB4">
        <w:rPr>
          <w:rFonts w:ascii="Tahoma" w:eastAsia="Times New Roman" w:hAnsi="Tahoma" w:cs="Tahoma"/>
          <w:sz w:val="24"/>
          <w:szCs w:val="24"/>
          <w:lang w:eastAsia="it-IT"/>
        </w:rPr>
        <w:t xml:space="preserve">E’ necessario </w:t>
      </w:r>
      <w:r w:rsidR="00D92A20">
        <w:rPr>
          <w:rFonts w:ascii="Tahoma" w:eastAsia="Times New Roman" w:hAnsi="Tahoma" w:cs="Tahoma"/>
          <w:sz w:val="24"/>
          <w:szCs w:val="24"/>
          <w:lang w:eastAsia="it-IT"/>
        </w:rPr>
        <w:t xml:space="preserve">inoltre </w:t>
      </w:r>
      <w:r w:rsidRPr="00905AB4">
        <w:rPr>
          <w:rFonts w:ascii="Tahoma" w:eastAsia="Times New Roman" w:hAnsi="Tahoma" w:cs="Tahoma"/>
          <w:sz w:val="24"/>
          <w:szCs w:val="24"/>
          <w:lang w:eastAsia="it-IT"/>
        </w:rPr>
        <w:t xml:space="preserve">sviluppare singoli punti di informazione negli Stati membri sulla dimensione urbana delle politiche dell'UE (sportelli unici urbani) allo scopo di fornire informazioni esaurienti </w:t>
      </w:r>
      <w:r w:rsidR="00AF0AE6" w:rsidRPr="00905AB4">
        <w:rPr>
          <w:rFonts w:ascii="Tahoma" w:eastAsia="Times New Roman" w:hAnsi="Tahoma" w:cs="Tahoma"/>
          <w:sz w:val="24"/>
          <w:szCs w:val="24"/>
          <w:lang w:eastAsia="it-IT"/>
        </w:rPr>
        <w:t>e supporto</w:t>
      </w:r>
      <w:r w:rsidR="006969A0" w:rsidRPr="00905AB4">
        <w:rPr>
          <w:rFonts w:ascii="Tahoma" w:eastAsia="Times New Roman" w:hAnsi="Tahoma" w:cs="Tahoma"/>
          <w:sz w:val="24"/>
          <w:szCs w:val="24"/>
          <w:lang w:eastAsia="it-IT"/>
        </w:rPr>
        <w:t xml:space="preserve"> tecnico,</w:t>
      </w:r>
      <w:r w:rsidRPr="00905AB4">
        <w:rPr>
          <w:rFonts w:ascii="Tahoma" w:eastAsia="Times New Roman" w:hAnsi="Tahoma" w:cs="Tahoma"/>
          <w:sz w:val="24"/>
          <w:szCs w:val="24"/>
          <w:lang w:eastAsia="it-IT"/>
        </w:rPr>
        <w:t xml:space="preserve">in particolare sulle diverse iniziative, linee guida e possibilità finanziarie dell'UE </w:t>
      </w:r>
      <w:r w:rsidR="006969A0" w:rsidRPr="00905AB4">
        <w:rPr>
          <w:rFonts w:ascii="Tahoma" w:eastAsia="Times New Roman" w:hAnsi="Tahoma" w:cs="Tahoma"/>
          <w:sz w:val="24"/>
          <w:szCs w:val="24"/>
          <w:lang w:eastAsia="it-IT"/>
        </w:rPr>
        <w:t>dedicate</w:t>
      </w:r>
      <w:r w:rsidR="00AF0AE6" w:rsidRPr="00905AB4">
        <w:rPr>
          <w:rFonts w:ascii="Tahoma" w:eastAsia="Times New Roman" w:hAnsi="Tahoma" w:cs="Tahoma"/>
          <w:sz w:val="24"/>
          <w:szCs w:val="24"/>
          <w:lang w:eastAsia="it-IT"/>
        </w:rPr>
        <w:t xml:space="preserve"> allo sviluppo urbano.</w:t>
      </w:r>
    </w:p>
    <w:p w:rsidR="00715280" w:rsidRPr="003E622F" w:rsidRDefault="003D0194" w:rsidP="003E622F">
      <w:pPr>
        <w:shd w:val="clear" w:color="auto" w:fill="FFFFFF"/>
        <w:spacing w:before="100" w:beforeAutospacing="1" w:after="100" w:afterAutospacing="1" w:line="240" w:lineRule="auto"/>
        <w:jc w:val="both"/>
        <w:rPr>
          <w:rFonts w:ascii="Tahoma" w:eastAsia="Times New Roman" w:hAnsi="Tahoma" w:cs="Tahoma"/>
          <w:sz w:val="24"/>
          <w:szCs w:val="24"/>
          <w:lang w:eastAsia="it-IT"/>
        </w:rPr>
      </w:pPr>
      <w:r w:rsidRPr="00905AB4">
        <w:rPr>
          <w:rFonts w:ascii="Tahoma" w:eastAsia="Times New Roman" w:hAnsi="Tahoma" w:cs="Tahoma"/>
          <w:sz w:val="24"/>
          <w:szCs w:val="24"/>
          <w:lang w:eastAsia="it-IT"/>
        </w:rPr>
        <w:t xml:space="preserve">E’ indispensabile </w:t>
      </w:r>
      <w:r w:rsidR="00D92A20">
        <w:rPr>
          <w:rFonts w:ascii="Tahoma" w:eastAsia="Times New Roman" w:hAnsi="Tahoma" w:cs="Tahoma"/>
          <w:sz w:val="24"/>
          <w:szCs w:val="24"/>
          <w:lang w:eastAsia="it-IT"/>
        </w:rPr>
        <w:t xml:space="preserve">infine </w:t>
      </w:r>
      <w:r w:rsidRPr="00905AB4">
        <w:rPr>
          <w:rFonts w:ascii="Tahoma" w:eastAsia="Times New Roman" w:hAnsi="Tahoma" w:cs="Tahoma"/>
          <w:sz w:val="24"/>
          <w:szCs w:val="24"/>
          <w:lang w:eastAsia="it-IT"/>
        </w:rPr>
        <w:t xml:space="preserve">che gli Stati membri coinvolgano in modo vincolante le città e le aree urbane nell'elaborazione e nella programmazione delle politiche strategiche nazionali e rafforzino l’interscambio di esperienze in relazione ai programmi nazionali </w:t>
      </w:r>
      <w:r w:rsidR="00AF0AE6" w:rsidRPr="00905AB4">
        <w:rPr>
          <w:rFonts w:ascii="Tahoma" w:eastAsia="Times New Roman" w:hAnsi="Tahoma" w:cs="Tahoma"/>
          <w:sz w:val="24"/>
          <w:szCs w:val="24"/>
          <w:lang w:eastAsia="it-IT"/>
        </w:rPr>
        <w:t xml:space="preserve">(o regionali) </w:t>
      </w:r>
      <w:r w:rsidRPr="00905AB4">
        <w:rPr>
          <w:rFonts w:ascii="Tahoma" w:eastAsia="Times New Roman" w:hAnsi="Tahoma" w:cs="Tahoma"/>
          <w:sz w:val="24"/>
          <w:szCs w:val="24"/>
          <w:lang w:eastAsia="it-IT"/>
        </w:rPr>
        <w:t>per lo sviluppo urbano, anche mediante l'organizzazione periodica di Consigli informali dei ministri competenti per lo sviluppo urbano aperti alla partecipazione delle rappresentanze nazionali delle città (</w:t>
      </w:r>
      <w:r w:rsidR="003E622F">
        <w:rPr>
          <w:rFonts w:ascii="Tahoma" w:eastAsia="Times New Roman" w:hAnsi="Tahoma" w:cs="Tahoma"/>
          <w:sz w:val="24"/>
          <w:szCs w:val="24"/>
          <w:lang w:eastAsia="it-IT"/>
        </w:rPr>
        <w:t xml:space="preserve">in Italia, </w:t>
      </w:r>
      <w:r w:rsidRPr="00905AB4">
        <w:rPr>
          <w:rFonts w:ascii="Tahoma" w:eastAsia="Times New Roman" w:hAnsi="Tahoma" w:cs="Tahoma"/>
          <w:sz w:val="24"/>
          <w:szCs w:val="24"/>
          <w:lang w:eastAsia="it-IT"/>
        </w:rPr>
        <w:t>ANCI)</w:t>
      </w:r>
      <w:r w:rsidR="00BB58C1" w:rsidRPr="00905AB4">
        <w:rPr>
          <w:rFonts w:ascii="Tahoma" w:eastAsia="Times New Roman" w:hAnsi="Tahoma" w:cs="Tahoma"/>
          <w:sz w:val="24"/>
          <w:szCs w:val="24"/>
          <w:lang w:eastAsia="it-IT"/>
        </w:rPr>
        <w:t>.</w:t>
      </w:r>
    </w:p>
    <w:sectPr w:rsidR="00715280" w:rsidRPr="003E622F" w:rsidSect="00625AB8">
      <w:headerReference w:type="default" r:id="rId9"/>
      <w:footerReference w:type="default" r:id="rId10"/>
      <w:pgSz w:w="11906" w:h="16838"/>
      <w:pgMar w:top="1418"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D6" w:rsidRDefault="002E7FD6" w:rsidP="00DD3DCA">
      <w:pPr>
        <w:spacing w:after="0" w:line="240" w:lineRule="auto"/>
      </w:pPr>
      <w:r>
        <w:separator/>
      </w:r>
    </w:p>
  </w:endnote>
  <w:endnote w:type="continuationSeparator" w:id="1">
    <w:p w:rsidR="002E7FD6" w:rsidRDefault="002E7FD6" w:rsidP="00DD3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0"/>
        <w:szCs w:val="20"/>
      </w:rPr>
      <w:id w:val="1113246461"/>
      <w:docPartObj>
        <w:docPartGallery w:val="Page Numbers (Bottom of Page)"/>
        <w:docPartUnique/>
      </w:docPartObj>
    </w:sdtPr>
    <w:sdtContent>
      <w:p w:rsidR="00715280" w:rsidRPr="00715280" w:rsidRDefault="00C84990">
        <w:pPr>
          <w:pStyle w:val="Pidipagina"/>
          <w:jc w:val="right"/>
          <w:rPr>
            <w:rFonts w:ascii="Arial Narrow" w:hAnsi="Arial Narrow"/>
            <w:sz w:val="20"/>
            <w:szCs w:val="20"/>
          </w:rPr>
        </w:pPr>
        <w:r w:rsidRPr="00715280">
          <w:rPr>
            <w:rFonts w:ascii="Arial Narrow" w:hAnsi="Arial Narrow"/>
            <w:sz w:val="20"/>
            <w:szCs w:val="20"/>
          </w:rPr>
          <w:fldChar w:fldCharType="begin"/>
        </w:r>
        <w:r w:rsidR="00715280" w:rsidRPr="00715280">
          <w:rPr>
            <w:rFonts w:ascii="Arial Narrow" w:hAnsi="Arial Narrow"/>
            <w:sz w:val="20"/>
            <w:szCs w:val="20"/>
          </w:rPr>
          <w:instrText>PAGE   \* MERGEFORMAT</w:instrText>
        </w:r>
        <w:r w:rsidRPr="00715280">
          <w:rPr>
            <w:rFonts w:ascii="Arial Narrow" w:hAnsi="Arial Narrow"/>
            <w:sz w:val="20"/>
            <w:szCs w:val="20"/>
          </w:rPr>
          <w:fldChar w:fldCharType="separate"/>
        </w:r>
        <w:r w:rsidR="007A5F10">
          <w:rPr>
            <w:rFonts w:ascii="Arial Narrow" w:hAnsi="Arial Narrow"/>
            <w:noProof/>
            <w:sz w:val="20"/>
            <w:szCs w:val="20"/>
          </w:rPr>
          <w:t>1</w:t>
        </w:r>
        <w:r w:rsidRPr="00715280">
          <w:rPr>
            <w:rFonts w:ascii="Arial Narrow" w:hAnsi="Arial Narrow"/>
            <w:sz w:val="20"/>
            <w:szCs w:val="20"/>
          </w:rPr>
          <w:fldChar w:fldCharType="end"/>
        </w:r>
      </w:p>
    </w:sdtContent>
  </w:sdt>
  <w:p w:rsidR="00715280" w:rsidRDefault="007152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D6" w:rsidRDefault="002E7FD6" w:rsidP="00DD3DCA">
      <w:pPr>
        <w:spacing w:after="0" w:line="240" w:lineRule="auto"/>
      </w:pPr>
      <w:r>
        <w:separator/>
      </w:r>
    </w:p>
  </w:footnote>
  <w:footnote w:type="continuationSeparator" w:id="1">
    <w:p w:rsidR="002E7FD6" w:rsidRDefault="002E7FD6" w:rsidP="00DD3DCA">
      <w:pPr>
        <w:spacing w:after="0" w:line="240" w:lineRule="auto"/>
      </w:pPr>
      <w:r>
        <w:continuationSeparator/>
      </w:r>
    </w:p>
  </w:footnote>
  <w:footnote w:id="2">
    <w:p w:rsidR="003E622F" w:rsidRPr="003E622F" w:rsidRDefault="003E622F" w:rsidP="003E622F">
      <w:pPr>
        <w:spacing w:after="0" w:line="240" w:lineRule="auto"/>
        <w:jc w:val="both"/>
        <w:rPr>
          <w:rFonts w:ascii="Tahoma" w:hAnsi="Tahoma" w:cs="Tahoma"/>
          <w:sz w:val="16"/>
          <w:szCs w:val="16"/>
        </w:rPr>
      </w:pPr>
      <w:r w:rsidRPr="003E622F">
        <w:rPr>
          <w:rStyle w:val="Rimandonotaapidipagina"/>
          <w:sz w:val="16"/>
          <w:szCs w:val="16"/>
        </w:rPr>
        <w:footnoteRef/>
      </w:r>
      <w:r w:rsidRPr="003E622F">
        <w:rPr>
          <w:rFonts w:ascii="Tahoma" w:hAnsi="Tahoma" w:cs="Tahoma"/>
          <w:sz w:val="16"/>
          <w:szCs w:val="16"/>
        </w:rPr>
        <w:t>Per attuare l’art.8 la Commissione UE ha lanciato un nuovo programma (</w:t>
      </w:r>
      <w:r w:rsidRPr="003E622F">
        <w:rPr>
          <w:rFonts w:ascii="Tahoma" w:hAnsi="Tahoma" w:cs="Tahoma"/>
          <w:i/>
          <w:sz w:val="16"/>
          <w:szCs w:val="16"/>
        </w:rPr>
        <w:t>Urban Innovative Actions</w:t>
      </w:r>
      <w:r w:rsidRPr="003E622F">
        <w:rPr>
          <w:rFonts w:ascii="Tahoma" w:hAnsi="Tahoma" w:cs="Tahoma"/>
          <w:sz w:val="16"/>
          <w:szCs w:val="16"/>
        </w:rPr>
        <w:t>) che finanzia progetti innovativi per lo sviluppo urbano sostenibile nelle città. Possono partecipare al programma tutti i comuni e aggregazioni di comuni con più di 50mila abitanti. Per il periodo 2015-2020 la dotazione finanziaria complessiva del programma ammonta a 371 milioni di euro, ripartiti su diversi bandi presentati in successione nel corso dell’intero periodo (80 milioni di euro lo stanziamento previsto dal primo bando, in scadenza il 31 marzo 2016).</w:t>
      </w:r>
    </w:p>
  </w:footnote>
  <w:footnote w:id="3">
    <w:p w:rsidR="003E622F" w:rsidRPr="003E622F" w:rsidRDefault="003E622F" w:rsidP="003E622F">
      <w:pPr>
        <w:spacing w:after="0" w:line="240" w:lineRule="auto"/>
        <w:jc w:val="both"/>
        <w:rPr>
          <w:rFonts w:ascii="Tahoma" w:hAnsi="Tahoma" w:cs="Tahoma"/>
          <w:sz w:val="16"/>
          <w:szCs w:val="16"/>
        </w:rPr>
      </w:pPr>
      <w:r w:rsidRPr="003E622F">
        <w:rPr>
          <w:rStyle w:val="Rimandonotaapidipagina"/>
          <w:sz w:val="16"/>
          <w:szCs w:val="16"/>
        </w:rPr>
        <w:footnoteRef/>
      </w:r>
      <w:r w:rsidRPr="003E622F">
        <w:rPr>
          <w:rFonts w:ascii="Tahoma" w:hAnsi="Tahoma" w:cs="Tahoma"/>
          <w:sz w:val="16"/>
          <w:szCs w:val="16"/>
        </w:rPr>
        <w:t xml:space="preserve">Per aiutare gli Stati Membri ad effettuare azioni integrate di sviluppo sostenibile, il </w:t>
      </w:r>
      <w:r w:rsidRPr="003E622F">
        <w:rPr>
          <w:rFonts w:ascii="Tahoma" w:hAnsi="Tahoma" w:cs="Tahoma"/>
          <w:i/>
          <w:sz w:val="16"/>
          <w:szCs w:val="16"/>
        </w:rPr>
        <w:t>Common Provisions Regulation (regolamento di coordinamento)</w:t>
      </w:r>
      <w:r w:rsidRPr="003E622F">
        <w:rPr>
          <w:rFonts w:ascii="Tahoma" w:hAnsi="Tahoma" w:cs="Tahoma"/>
          <w:sz w:val="16"/>
          <w:szCs w:val="16"/>
        </w:rPr>
        <w:t xml:space="preserve"> ha introdotto infine due nuovi strumenti territoriali: gli </w:t>
      </w:r>
      <w:r w:rsidRPr="003E622F">
        <w:rPr>
          <w:rFonts w:ascii="Tahoma" w:hAnsi="Tahoma" w:cs="Tahoma"/>
          <w:i/>
          <w:sz w:val="16"/>
          <w:szCs w:val="16"/>
        </w:rPr>
        <w:t xml:space="preserve">Investimenti Territoriali Integrali </w:t>
      </w:r>
      <w:r w:rsidRPr="003E622F">
        <w:rPr>
          <w:rFonts w:ascii="Tahoma" w:hAnsi="Tahoma" w:cs="Tahoma"/>
          <w:sz w:val="16"/>
          <w:szCs w:val="16"/>
        </w:rPr>
        <w:t xml:space="preserve">(ITI) e lo </w:t>
      </w:r>
      <w:r w:rsidRPr="003E622F">
        <w:rPr>
          <w:rFonts w:ascii="Tahoma" w:hAnsi="Tahoma" w:cs="Tahoma"/>
          <w:i/>
          <w:sz w:val="16"/>
          <w:szCs w:val="16"/>
        </w:rPr>
        <w:t>Sviluppo Locale guidato dalle Comunità</w:t>
      </w:r>
      <w:r w:rsidRPr="003E622F">
        <w:rPr>
          <w:rFonts w:ascii="Tahoma" w:hAnsi="Tahoma" w:cs="Tahoma"/>
          <w:sz w:val="16"/>
          <w:szCs w:val="16"/>
        </w:rPr>
        <w:t xml:space="preserve"> (CLLD). Questi strumenti non solo fanno sì che i fondi provenienti da varie fonti siano riuniti ma creano anche una base significativa per attivare la partecipazione locale di cittadini e imprese.</w:t>
      </w:r>
    </w:p>
  </w:footnote>
  <w:footnote w:id="4">
    <w:p w:rsidR="003E622F" w:rsidRPr="00F61DD2" w:rsidRDefault="003E622F" w:rsidP="00F61DD2">
      <w:pPr>
        <w:spacing w:after="0" w:line="240" w:lineRule="auto"/>
        <w:jc w:val="both"/>
        <w:rPr>
          <w:rFonts w:ascii="Tahoma" w:hAnsi="Tahoma" w:cs="Tahoma"/>
          <w:sz w:val="16"/>
          <w:szCs w:val="16"/>
        </w:rPr>
      </w:pPr>
      <w:r w:rsidRPr="003E622F">
        <w:rPr>
          <w:rStyle w:val="Rimandonotaapidipagina"/>
          <w:sz w:val="16"/>
          <w:szCs w:val="16"/>
        </w:rPr>
        <w:footnoteRef/>
      </w:r>
      <w:r w:rsidRPr="003E622F">
        <w:rPr>
          <w:rFonts w:ascii="Tahoma" w:hAnsi="Tahoma" w:cs="Tahoma"/>
          <w:sz w:val="16"/>
          <w:szCs w:val="16"/>
        </w:rPr>
        <w:t xml:space="preserve">Il PON Città Metropolitane è stato approvato dalla Commissione Europea con decisione C(2015)4998 del </w:t>
      </w:r>
      <w:r w:rsidRPr="003E622F">
        <w:rPr>
          <w:rFonts w:ascii="Tahoma" w:hAnsi="Tahoma" w:cs="Tahoma"/>
          <w:i/>
          <w:sz w:val="16"/>
          <w:szCs w:val="16"/>
        </w:rPr>
        <w:t>14 luglio 2015</w:t>
      </w:r>
      <w:r w:rsidRPr="003E622F">
        <w:rPr>
          <w:rFonts w:ascii="Tahoma" w:hAnsi="Tahoma" w:cs="Tahoma"/>
          <w:sz w:val="16"/>
          <w:szCs w:val="16"/>
        </w:rPr>
        <w:t xml:space="preserve">; ammonta ad </w:t>
      </w:r>
      <w:r w:rsidRPr="003E622F">
        <w:rPr>
          <w:rFonts w:ascii="Tahoma" w:hAnsi="Tahoma" w:cs="Tahoma"/>
          <w:bCs/>
          <w:i/>
          <w:sz w:val="16"/>
          <w:szCs w:val="16"/>
        </w:rPr>
        <w:t>892.933.333,33 euro</w:t>
      </w:r>
      <w:r w:rsidRPr="003E622F">
        <w:rPr>
          <w:rFonts w:ascii="Tahoma" w:hAnsi="Tahoma" w:cs="Tahoma"/>
          <w:b/>
          <w:bCs/>
          <w:sz w:val="16"/>
          <w:szCs w:val="16"/>
        </w:rPr>
        <w:t xml:space="preserve">, </w:t>
      </w:r>
      <w:r w:rsidRPr="003E622F">
        <w:rPr>
          <w:rFonts w:ascii="Tahoma" w:hAnsi="Tahoma" w:cs="Tahoma"/>
          <w:sz w:val="16"/>
          <w:szCs w:val="16"/>
        </w:rPr>
        <w:t>di cui</w:t>
      </w:r>
      <w:r w:rsidRPr="003E622F">
        <w:rPr>
          <w:rFonts w:ascii="Tahoma" w:hAnsi="Tahoma" w:cs="Tahoma"/>
          <w:bCs/>
          <w:sz w:val="16"/>
          <w:szCs w:val="16"/>
        </w:rPr>
        <w:t>588.075.000 euro</w:t>
      </w:r>
      <w:r w:rsidRPr="003E622F">
        <w:rPr>
          <w:rFonts w:ascii="Tahoma" w:hAnsi="Tahoma" w:cs="Tahoma"/>
          <w:sz w:val="16"/>
          <w:szCs w:val="16"/>
        </w:rPr>
        <w:t xml:space="preserve"> di Fondi strutturali (</w:t>
      </w:r>
      <w:r w:rsidRPr="003E622F">
        <w:rPr>
          <w:rFonts w:ascii="Tahoma" w:hAnsi="Tahoma" w:cs="Tahoma"/>
          <w:bCs/>
          <w:sz w:val="16"/>
          <w:szCs w:val="16"/>
        </w:rPr>
        <w:t>445.698.942 euro</w:t>
      </w:r>
      <w:r w:rsidRPr="003E622F">
        <w:rPr>
          <w:rFonts w:ascii="Tahoma" w:hAnsi="Tahoma" w:cs="Tahoma"/>
          <w:sz w:val="16"/>
          <w:szCs w:val="16"/>
        </w:rPr>
        <w:t xml:space="preserve"> a valere sul </w:t>
      </w:r>
      <w:r w:rsidRPr="003E622F">
        <w:rPr>
          <w:rFonts w:ascii="Tahoma" w:hAnsi="Tahoma" w:cs="Tahoma"/>
          <w:bCs/>
          <w:sz w:val="16"/>
          <w:szCs w:val="16"/>
        </w:rPr>
        <w:t>FESR</w:t>
      </w:r>
      <w:r w:rsidRPr="003E622F">
        <w:rPr>
          <w:rFonts w:ascii="Tahoma" w:hAnsi="Tahoma" w:cs="Tahoma"/>
          <w:sz w:val="16"/>
          <w:szCs w:val="16"/>
        </w:rPr>
        <w:t xml:space="preserve"> e </w:t>
      </w:r>
      <w:r w:rsidRPr="003E622F">
        <w:rPr>
          <w:rFonts w:ascii="Tahoma" w:hAnsi="Tahoma" w:cs="Tahoma"/>
          <w:bCs/>
          <w:sz w:val="16"/>
          <w:szCs w:val="16"/>
        </w:rPr>
        <w:t>142.376.058 euro</w:t>
      </w:r>
      <w:r w:rsidRPr="003E622F">
        <w:rPr>
          <w:rFonts w:ascii="Tahoma" w:hAnsi="Tahoma" w:cs="Tahoma"/>
          <w:sz w:val="16"/>
          <w:szCs w:val="16"/>
        </w:rPr>
        <w:t xml:space="preserve"> a valere su </w:t>
      </w:r>
      <w:r w:rsidRPr="003E622F">
        <w:rPr>
          <w:rFonts w:ascii="Tahoma" w:hAnsi="Tahoma" w:cs="Tahoma"/>
          <w:bCs/>
          <w:sz w:val="16"/>
          <w:szCs w:val="16"/>
        </w:rPr>
        <w:t>FSE</w:t>
      </w:r>
      <w:r w:rsidRPr="003E622F">
        <w:rPr>
          <w:rFonts w:ascii="Tahoma" w:hAnsi="Tahoma" w:cs="Tahoma"/>
          <w:sz w:val="16"/>
          <w:szCs w:val="16"/>
        </w:rPr>
        <w:t xml:space="preserve">). </w:t>
      </w:r>
    </w:p>
  </w:footnote>
  <w:footnote w:id="5">
    <w:p w:rsidR="00F61DD2" w:rsidRPr="00F61DD2" w:rsidRDefault="00F61DD2" w:rsidP="00F61DD2">
      <w:pPr>
        <w:shd w:val="clear" w:color="auto" w:fill="FFFFFF"/>
        <w:spacing w:after="0" w:line="240" w:lineRule="auto"/>
        <w:jc w:val="both"/>
        <w:rPr>
          <w:rFonts w:ascii="Tahoma" w:eastAsia="Times New Roman" w:hAnsi="Tahoma" w:cs="Tahoma"/>
          <w:sz w:val="16"/>
          <w:szCs w:val="16"/>
          <w:lang w:eastAsia="it-IT"/>
        </w:rPr>
      </w:pPr>
      <w:r w:rsidRPr="00F61DD2">
        <w:rPr>
          <w:rStyle w:val="Rimandonotaapidipagina"/>
          <w:rFonts w:ascii="Tahoma" w:hAnsi="Tahoma" w:cs="Tahoma"/>
          <w:sz w:val="16"/>
          <w:szCs w:val="16"/>
        </w:rPr>
        <w:footnoteRef/>
      </w:r>
      <w:r w:rsidRPr="00F61DD2">
        <w:rPr>
          <w:rFonts w:ascii="Tahoma" w:hAnsi="Tahoma" w:cs="Tahoma"/>
          <w:sz w:val="16"/>
          <w:szCs w:val="16"/>
        </w:rPr>
        <w:t xml:space="preserve"> Come noto, </w:t>
      </w:r>
      <w:r w:rsidRPr="00F61DD2">
        <w:rPr>
          <w:rFonts w:ascii="Tahoma" w:eastAsia="Times New Roman" w:hAnsi="Tahoma" w:cs="Tahoma"/>
          <w:sz w:val="16"/>
          <w:szCs w:val="16"/>
          <w:lang w:eastAsia="it-IT"/>
        </w:rPr>
        <w:t>le</w:t>
      </w:r>
      <w:r w:rsidRPr="00F61DD2">
        <w:rPr>
          <w:rFonts w:ascii="Tahoma" w:eastAsia="Times New Roman" w:hAnsi="Tahoma" w:cs="Tahoma"/>
          <w:bCs/>
          <w:i/>
          <w:sz w:val="16"/>
          <w:szCs w:val="16"/>
          <w:lang w:eastAsia="it-IT"/>
        </w:rPr>
        <w:t>aree interessate</w:t>
      </w:r>
      <w:r w:rsidRPr="00F61DD2">
        <w:rPr>
          <w:rFonts w:ascii="Tahoma" w:eastAsia="Times New Roman" w:hAnsi="Tahoma" w:cs="Tahoma"/>
          <w:sz w:val="16"/>
          <w:szCs w:val="16"/>
          <w:lang w:eastAsia="it-IT"/>
        </w:rPr>
        <w:t xml:space="preserve"> dal PON Metro 2014-2020 sono 14: </w:t>
      </w:r>
      <w:r w:rsidRPr="00F61DD2">
        <w:rPr>
          <w:rFonts w:ascii="Tahoma" w:hAnsi="Tahoma" w:cs="Tahoma"/>
          <w:color w:val="000000"/>
          <w:sz w:val="16"/>
          <w:szCs w:val="16"/>
        </w:rPr>
        <w:t>le 10 Città metropolitane individuate con legge nazionale (Bari, Bologna, Genova, Firenze, Milano, Napoli, Roma, Torino, Venezia e Reggio Calabria) e le 4 Città metropolitane individuate dalle Regioni a statuto speciale (Cagliari, Catania, Messina e Palermo).L’autorità di gestione del Programma è l’</w:t>
      </w:r>
      <w:r w:rsidRPr="00F61DD2">
        <w:rPr>
          <w:rFonts w:ascii="Tahoma" w:hAnsi="Tahoma" w:cs="Tahoma"/>
          <w:i/>
          <w:color w:val="000000"/>
          <w:sz w:val="16"/>
          <w:szCs w:val="16"/>
        </w:rPr>
        <w:t>Agenzia per la coesione territoriale</w:t>
      </w:r>
      <w:r w:rsidRPr="00F61DD2">
        <w:rPr>
          <w:rFonts w:ascii="Tahoma" w:hAnsi="Tahoma" w:cs="Tahoma"/>
          <w:color w:val="000000"/>
          <w:sz w:val="16"/>
          <w:szCs w:val="16"/>
        </w:rPr>
        <w:t>.</w:t>
      </w:r>
    </w:p>
    <w:p w:rsidR="00F61DD2" w:rsidRDefault="00F61DD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3A" w:rsidRPr="00625AB8" w:rsidRDefault="000A7B5E">
    <w:pPr>
      <w:pStyle w:val="Intestazione"/>
      <w:rPr>
        <w:rFonts w:ascii="Arial Narrow" w:hAnsi="Arial Narrow"/>
        <w:i/>
        <w:sz w:val="12"/>
        <w:szCs w:val="12"/>
      </w:rPr>
    </w:pPr>
    <w:r>
      <w:rPr>
        <w:rFonts w:ascii="Arial Narrow" w:hAnsi="Arial Narrow"/>
        <w:i/>
        <w:sz w:val="12"/>
        <w:szCs w:val="12"/>
      </w:rPr>
      <w:t>Area politiche di coesione territoriale- ANCI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8C5"/>
    <w:multiLevelType w:val="hybridMultilevel"/>
    <w:tmpl w:val="026E9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3025D"/>
    <w:multiLevelType w:val="hybridMultilevel"/>
    <w:tmpl w:val="C01EE636"/>
    <w:lvl w:ilvl="0" w:tplc="0410000F">
      <w:start w:val="1"/>
      <w:numFmt w:val="decimal"/>
      <w:lvlText w:val="%1."/>
      <w:lvlJc w:val="left"/>
      <w:pPr>
        <w:tabs>
          <w:tab w:val="num" w:pos="0"/>
        </w:tabs>
        <w:ind w:left="369" w:hanging="369"/>
      </w:pPr>
      <w:rPr>
        <w:rFont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123CD7"/>
    <w:multiLevelType w:val="hybridMultilevel"/>
    <w:tmpl w:val="7A046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B51FE2"/>
    <w:multiLevelType w:val="hybridMultilevel"/>
    <w:tmpl w:val="A4BC3D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2683477"/>
    <w:multiLevelType w:val="hybridMultilevel"/>
    <w:tmpl w:val="065E8B18"/>
    <w:lvl w:ilvl="0" w:tplc="04100017">
      <w:start w:val="1"/>
      <w:numFmt w:val="lowerLetter"/>
      <w:lvlText w:val="%1)"/>
      <w:lvlJc w:val="left"/>
      <w:pPr>
        <w:tabs>
          <w:tab w:val="num" w:pos="0"/>
        </w:tabs>
        <w:ind w:left="369" w:hanging="369"/>
      </w:pPr>
      <w:rPr>
        <w:rFont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AE96157"/>
    <w:multiLevelType w:val="hybridMultilevel"/>
    <w:tmpl w:val="14184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F11097"/>
    <w:multiLevelType w:val="hybridMultilevel"/>
    <w:tmpl w:val="44D27D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B2A42"/>
    <w:multiLevelType w:val="hybridMultilevel"/>
    <w:tmpl w:val="B120B50C"/>
    <w:lvl w:ilvl="0" w:tplc="AA52A5F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9256EED"/>
    <w:multiLevelType w:val="hybridMultilevel"/>
    <w:tmpl w:val="82E85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5C70DF"/>
    <w:multiLevelType w:val="hybridMultilevel"/>
    <w:tmpl w:val="BCBAA1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C5E2C9C"/>
    <w:multiLevelType w:val="hybridMultilevel"/>
    <w:tmpl w:val="275E8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BE70E5"/>
    <w:multiLevelType w:val="hybridMultilevel"/>
    <w:tmpl w:val="AD1A6C44"/>
    <w:lvl w:ilvl="0" w:tplc="81B47C5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EF310E4"/>
    <w:multiLevelType w:val="hybridMultilevel"/>
    <w:tmpl w:val="3AE25062"/>
    <w:lvl w:ilvl="0" w:tplc="0410000F">
      <w:start w:val="1"/>
      <w:numFmt w:val="decimal"/>
      <w:lvlText w:val="%1."/>
      <w:lvlJc w:val="left"/>
      <w:pPr>
        <w:tabs>
          <w:tab w:val="num" w:pos="0"/>
        </w:tabs>
        <w:ind w:left="369" w:hanging="369"/>
      </w:pPr>
      <w:rPr>
        <w:rFont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5E0485"/>
    <w:multiLevelType w:val="hybridMultilevel"/>
    <w:tmpl w:val="218428E6"/>
    <w:lvl w:ilvl="0" w:tplc="625832D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3DE3DB5"/>
    <w:multiLevelType w:val="hybridMultilevel"/>
    <w:tmpl w:val="2EB2C516"/>
    <w:lvl w:ilvl="0" w:tplc="04100017">
      <w:start w:val="1"/>
      <w:numFmt w:val="lowerLetter"/>
      <w:lvlText w:val="%1)"/>
      <w:lvlJc w:val="left"/>
      <w:pPr>
        <w:tabs>
          <w:tab w:val="num" w:pos="0"/>
        </w:tabs>
        <w:ind w:left="369" w:hanging="369"/>
      </w:pPr>
      <w:rPr>
        <w:rFont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5474801"/>
    <w:multiLevelType w:val="hybridMultilevel"/>
    <w:tmpl w:val="10085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4C3E45"/>
    <w:multiLevelType w:val="hybridMultilevel"/>
    <w:tmpl w:val="2B408DE0"/>
    <w:lvl w:ilvl="0" w:tplc="63927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
  </w:num>
  <w:num w:numId="5">
    <w:abstractNumId w:val="12"/>
  </w:num>
  <w:num w:numId="6">
    <w:abstractNumId w:val="15"/>
  </w:num>
  <w:num w:numId="7">
    <w:abstractNumId w:val="5"/>
  </w:num>
  <w:num w:numId="8">
    <w:abstractNumId w:val="4"/>
  </w:num>
  <w:num w:numId="9">
    <w:abstractNumId w:val="6"/>
  </w:num>
  <w:num w:numId="10">
    <w:abstractNumId w:val="14"/>
  </w:num>
  <w:num w:numId="11">
    <w:abstractNumId w:val="0"/>
  </w:num>
  <w:num w:numId="12">
    <w:abstractNumId w:val="16"/>
  </w:num>
  <w:num w:numId="13">
    <w:abstractNumId w:val="8"/>
  </w:num>
  <w:num w:numId="14">
    <w:abstractNumId w:val="9"/>
  </w:num>
  <w:num w:numId="15">
    <w:abstractNumId w:val="3"/>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D3DCA"/>
    <w:rsid w:val="00044FFE"/>
    <w:rsid w:val="000A7B5E"/>
    <w:rsid w:val="000E76CD"/>
    <w:rsid w:val="00221659"/>
    <w:rsid w:val="002469DD"/>
    <w:rsid w:val="002A560B"/>
    <w:rsid w:val="002E7FD6"/>
    <w:rsid w:val="00327014"/>
    <w:rsid w:val="003D0194"/>
    <w:rsid w:val="003E622F"/>
    <w:rsid w:val="004A6AEF"/>
    <w:rsid w:val="004B19F1"/>
    <w:rsid w:val="00512016"/>
    <w:rsid w:val="00552577"/>
    <w:rsid w:val="00562247"/>
    <w:rsid w:val="0057373A"/>
    <w:rsid w:val="00574C78"/>
    <w:rsid w:val="005B2D95"/>
    <w:rsid w:val="005E7D5B"/>
    <w:rsid w:val="00625AB8"/>
    <w:rsid w:val="006667DD"/>
    <w:rsid w:val="006969A0"/>
    <w:rsid w:val="00715280"/>
    <w:rsid w:val="0072018D"/>
    <w:rsid w:val="007724E3"/>
    <w:rsid w:val="00772D2B"/>
    <w:rsid w:val="007A5F10"/>
    <w:rsid w:val="007B1286"/>
    <w:rsid w:val="008260BD"/>
    <w:rsid w:val="00831D1E"/>
    <w:rsid w:val="00846A45"/>
    <w:rsid w:val="00887DDF"/>
    <w:rsid w:val="00905AB4"/>
    <w:rsid w:val="00937DF4"/>
    <w:rsid w:val="009401E9"/>
    <w:rsid w:val="0098311E"/>
    <w:rsid w:val="009F4399"/>
    <w:rsid w:val="00A85551"/>
    <w:rsid w:val="00AF0AE6"/>
    <w:rsid w:val="00B127C9"/>
    <w:rsid w:val="00BB4512"/>
    <w:rsid w:val="00BB4DF4"/>
    <w:rsid w:val="00BB58C1"/>
    <w:rsid w:val="00BD2257"/>
    <w:rsid w:val="00C84990"/>
    <w:rsid w:val="00D3687B"/>
    <w:rsid w:val="00D92A20"/>
    <w:rsid w:val="00DC0FE0"/>
    <w:rsid w:val="00DD3DCA"/>
    <w:rsid w:val="00E361A4"/>
    <w:rsid w:val="00E96E45"/>
    <w:rsid w:val="00EA1A59"/>
    <w:rsid w:val="00F46D46"/>
    <w:rsid w:val="00F61DD2"/>
    <w:rsid w:val="00F95AB5"/>
    <w:rsid w:val="00FB18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DC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3DCA"/>
    <w:pPr>
      <w:spacing w:before="100" w:beforeAutospacing="1" w:after="100" w:afterAutospacing="1" w:line="240" w:lineRule="auto"/>
    </w:pPr>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DD3D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D3DCA"/>
    <w:rPr>
      <w:sz w:val="20"/>
      <w:szCs w:val="20"/>
    </w:rPr>
  </w:style>
  <w:style w:type="character" w:styleId="Rimandonotaapidipagina">
    <w:name w:val="footnote reference"/>
    <w:basedOn w:val="Carpredefinitoparagrafo"/>
    <w:uiPriority w:val="99"/>
    <w:unhideWhenUsed/>
    <w:rsid w:val="00DD3DCA"/>
    <w:rPr>
      <w:vertAlign w:val="superscript"/>
    </w:rPr>
  </w:style>
  <w:style w:type="paragraph" w:styleId="Intestazione">
    <w:name w:val="header"/>
    <w:basedOn w:val="Normale"/>
    <w:link w:val="IntestazioneCarattere"/>
    <w:uiPriority w:val="99"/>
    <w:unhideWhenUsed/>
    <w:rsid w:val="00573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373A"/>
  </w:style>
  <w:style w:type="paragraph" w:styleId="Pidipagina">
    <w:name w:val="footer"/>
    <w:basedOn w:val="Normale"/>
    <w:link w:val="PidipaginaCarattere"/>
    <w:uiPriority w:val="99"/>
    <w:unhideWhenUsed/>
    <w:rsid w:val="00573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373A"/>
  </w:style>
  <w:style w:type="paragraph" w:styleId="Nessunaspaziatura">
    <w:name w:val="No Spacing"/>
    <w:link w:val="NessunaspaziaturaCarattere"/>
    <w:uiPriority w:val="1"/>
    <w:qFormat/>
    <w:rsid w:val="0057373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7373A"/>
    <w:rPr>
      <w:rFonts w:eastAsiaTheme="minorEastAsia"/>
      <w:lang w:eastAsia="it-IT"/>
    </w:rPr>
  </w:style>
  <w:style w:type="paragraph" w:styleId="Paragrafoelenco">
    <w:name w:val="List Paragraph"/>
    <w:basedOn w:val="Normale"/>
    <w:uiPriority w:val="34"/>
    <w:qFormat/>
    <w:rsid w:val="00715280"/>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lang w:eastAsia="it-IT" w:bidi="it-IT"/>
    </w:rPr>
  </w:style>
  <w:style w:type="paragraph" w:styleId="Testofumetto">
    <w:name w:val="Balloon Text"/>
    <w:basedOn w:val="Normale"/>
    <w:link w:val="TestofumettoCarattere"/>
    <w:uiPriority w:val="99"/>
    <w:semiHidden/>
    <w:unhideWhenUsed/>
    <w:rsid w:val="00AF0A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A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DC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3DCA"/>
    <w:pPr>
      <w:spacing w:before="100" w:beforeAutospacing="1" w:after="100" w:afterAutospacing="1" w:line="240" w:lineRule="auto"/>
    </w:pPr>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DD3D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D3DCA"/>
    <w:rPr>
      <w:sz w:val="20"/>
      <w:szCs w:val="20"/>
    </w:rPr>
  </w:style>
  <w:style w:type="character" w:styleId="Rimandonotaapidipagina">
    <w:name w:val="footnote reference"/>
    <w:basedOn w:val="Carpredefinitoparagrafo"/>
    <w:uiPriority w:val="99"/>
    <w:unhideWhenUsed/>
    <w:rsid w:val="00DD3DCA"/>
    <w:rPr>
      <w:vertAlign w:val="superscript"/>
    </w:rPr>
  </w:style>
  <w:style w:type="paragraph" w:styleId="Intestazione">
    <w:name w:val="header"/>
    <w:basedOn w:val="Normale"/>
    <w:link w:val="IntestazioneCarattere"/>
    <w:uiPriority w:val="99"/>
    <w:unhideWhenUsed/>
    <w:rsid w:val="00573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373A"/>
  </w:style>
  <w:style w:type="paragraph" w:styleId="Pidipagina">
    <w:name w:val="footer"/>
    <w:basedOn w:val="Normale"/>
    <w:link w:val="PidipaginaCarattere"/>
    <w:uiPriority w:val="99"/>
    <w:unhideWhenUsed/>
    <w:rsid w:val="00573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373A"/>
  </w:style>
  <w:style w:type="paragraph" w:styleId="Nessunaspaziatura">
    <w:name w:val="No Spacing"/>
    <w:link w:val="NessunaspaziaturaCarattere"/>
    <w:uiPriority w:val="1"/>
    <w:qFormat/>
    <w:rsid w:val="0057373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7373A"/>
    <w:rPr>
      <w:rFonts w:eastAsiaTheme="minorEastAsia"/>
      <w:lang w:eastAsia="it-IT"/>
    </w:rPr>
  </w:style>
  <w:style w:type="paragraph" w:styleId="Paragrafoelenco">
    <w:name w:val="List Paragraph"/>
    <w:basedOn w:val="Normale"/>
    <w:uiPriority w:val="34"/>
    <w:qFormat/>
    <w:rsid w:val="00715280"/>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lang w:eastAsia="it-IT" w:bidi="it-IT"/>
    </w:rPr>
  </w:style>
  <w:style w:type="paragraph" w:styleId="Testofumetto">
    <w:name w:val="Balloon Text"/>
    <w:basedOn w:val="Normale"/>
    <w:link w:val="TestofumettoCarattere"/>
    <w:uiPriority w:val="99"/>
    <w:semiHidden/>
    <w:unhideWhenUsed/>
    <w:rsid w:val="00AF0A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A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879372">
      <w:bodyDiv w:val="1"/>
      <w:marLeft w:val="0"/>
      <w:marRight w:val="0"/>
      <w:marTop w:val="0"/>
      <w:marBottom w:val="0"/>
      <w:divBdr>
        <w:top w:val="none" w:sz="0" w:space="0" w:color="auto"/>
        <w:left w:val="none" w:sz="0" w:space="0" w:color="auto"/>
        <w:bottom w:val="none" w:sz="0" w:space="0" w:color="auto"/>
        <w:right w:val="none" w:sz="0" w:space="0" w:color="auto"/>
      </w:divBdr>
    </w:div>
    <w:div w:id="14798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790A6-1EE6-42CB-B50D-9A332F6E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Le città italiane per l’Agenda urbana europea nella programmazione post 2020</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città italiane per l’Agenda urbana europea nella programmazione post 2020</dc:title>
  <dc:subject>ANCI</dc:subject>
  <dc:creator>Francesco Monaco</dc:creator>
  <cp:lastModifiedBy>eluca</cp:lastModifiedBy>
  <cp:revision>2</cp:revision>
  <cp:lastPrinted>2016-01-08T16:10:00Z</cp:lastPrinted>
  <dcterms:created xsi:type="dcterms:W3CDTF">2019-11-22T10:17:00Z</dcterms:created>
  <dcterms:modified xsi:type="dcterms:W3CDTF">2019-11-22T10:17:00Z</dcterms:modified>
</cp:coreProperties>
</file>